
<file path=[Content_Types].xml><?xml version="1.0" encoding="utf-8"?>
<Types xmlns="http://schemas.openxmlformats.org/package/2006/content-types">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57" w:rsidRPr="00BA045E" w:rsidRDefault="004C5557" w:rsidP="004C5557">
      <w:pPr>
        <w:spacing w:after="0" w:line="360" w:lineRule="auto"/>
        <w:ind w:left="426" w:hanging="426"/>
        <w:jc w:val="center"/>
        <w:rPr>
          <w:rFonts w:ascii="Arial" w:hAnsi="Arial" w:cs="Arial"/>
          <w:b/>
          <w:color w:val="0070C0"/>
          <w:sz w:val="24"/>
          <w:szCs w:val="24"/>
        </w:rPr>
      </w:pPr>
      <w:r w:rsidRPr="00BA045E">
        <w:rPr>
          <w:rFonts w:ascii="Arial" w:hAnsi="Arial" w:cs="Arial"/>
          <w:b/>
          <w:color w:val="0070C0"/>
          <w:sz w:val="24"/>
          <w:szCs w:val="24"/>
        </w:rPr>
        <w:t>PEMANTAUAN INDIKATOR MUTU PMKP BULAN OKTOBER NOPEMBER DESEMBER 2019</w:t>
      </w:r>
    </w:p>
    <w:p w:rsidR="004C5557" w:rsidRDefault="004C5557" w:rsidP="004C5557">
      <w:pPr>
        <w:spacing w:after="0" w:line="360" w:lineRule="auto"/>
        <w:ind w:left="426" w:hanging="426"/>
        <w:jc w:val="center"/>
        <w:rPr>
          <w:rFonts w:ascii="Arial" w:hAnsi="Arial" w:cs="Arial"/>
          <w:b/>
          <w:sz w:val="24"/>
          <w:szCs w:val="24"/>
        </w:rPr>
      </w:pPr>
    </w:p>
    <w:p w:rsidR="004C5557" w:rsidRPr="004C5557" w:rsidRDefault="004C5557" w:rsidP="004C5557">
      <w:pPr>
        <w:spacing w:after="0" w:line="360" w:lineRule="auto"/>
        <w:ind w:left="426" w:hanging="426"/>
        <w:rPr>
          <w:rFonts w:ascii="Arial" w:hAnsi="Arial" w:cs="Arial"/>
          <w:b/>
          <w:sz w:val="24"/>
          <w:szCs w:val="24"/>
        </w:rPr>
      </w:pPr>
      <w:r>
        <w:rPr>
          <w:rFonts w:ascii="Arial" w:hAnsi="Arial" w:cs="Arial"/>
          <w:b/>
          <w:sz w:val="24"/>
          <w:szCs w:val="24"/>
          <w:lang w:val="en-US"/>
        </w:rPr>
        <w:t xml:space="preserve"> </w:t>
      </w:r>
      <w:proofErr w:type="spellStart"/>
      <w:r>
        <w:rPr>
          <w:rFonts w:ascii="Arial" w:hAnsi="Arial" w:cs="Arial"/>
          <w:b/>
          <w:sz w:val="24"/>
          <w:szCs w:val="24"/>
          <w:lang w:val="en-US"/>
        </w:rPr>
        <w:t>Pemantauan</w:t>
      </w:r>
      <w:proofErr w:type="spellEnd"/>
      <w:r>
        <w:rPr>
          <w:rFonts w:ascii="Arial" w:hAnsi="Arial" w:cs="Arial"/>
          <w:b/>
          <w:sz w:val="24"/>
          <w:szCs w:val="24"/>
          <w:lang w:val="en-US"/>
        </w:rPr>
        <w:t xml:space="preserve"> </w:t>
      </w:r>
      <w:proofErr w:type="spellStart"/>
      <w:r>
        <w:rPr>
          <w:rFonts w:ascii="Arial" w:hAnsi="Arial" w:cs="Arial"/>
          <w:b/>
          <w:sz w:val="24"/>
          <w:szCs w:val="24"/>
          <w:lang w:val="en-US"/>
        </w:rPr>
        <w:t>Indikator</w:t>
      </w:r>
      <w:proofErr w:type="spellEnd"/>
      <w:r>
        <w:rPr>
          <w:rFonts w:ascii="Arial" w:hAnsi="Arial" w:cs="Arial"/>
          <w:b/>
          <w:sz w:val="24"/>
          <w:szCs w:val="24"/>
          <w:lang w:val="en-US"/>
        </w:rPr>
        <w:t xml:space="preserve"> </w:t>
      </w:r>
      <w:proofErr w:type="spellStart"/>
      <w:r>
        <w:rPr>
          <w:rFonts w:ascii="Arial" w:hAnsi="Arial" w:cs="Arial"/>
          <w:b/>
          <w:sz w:val="24"/>
          <w:szCs w:val="24"/>
          <w:lang w:val="en-US"/>
        </w:rPr>
        <w:t>Mutu</w:t>
      </w:r>
      <w:proofErr w:type="spellEnd"/>
      <w:r>
        <w:rPr>
          <w:rFonts w:ascii="Arial" w:hAnsi="Arial" w:cs="Arial"/>
          <w:b/>
          <w:sz w:val="24"/>
          <w:szCs w:val="24"/>
          <w:lang w:val="en-US"/>
        </w:rPr>
        <w:t xml:space="preserve"> </w:t>
      </w:r>
      <w:proofErr w:type="spellStart"/>
      <w:r>
        <w:rPr>
          <w:rFonts w:ascii="Arial" w:hAnsi="Arial" w:cs="Arial"/>
          <w:b/>
          <w:sz w:val="24"/>
          <w:szCs w:val="24"/>
          <w:lang w:val="en-US"/>
        </w:rPr>
        <w:t>Nasiona</w:t>
      </w:r>
      <w:proofErr w:type="spellEnd"/>
      <w:r>
        <w:rPr>
          <w:rFonts w:ascii="Arial" w:hAnsi="Arial" w:cs="Arial"/>
          <w:b/>
          <w:sz w:val="24"/>
          <w:szCs w:val="24"/>
        </w:rPr>
        <w:t>l</w:t>
      </w:r>
    </w:p>
    <w:tbl>
      <w:tblPr>
        <w:tblStyle w:val="TableGrid"/>
        <w:tblW w:w="8755" w:type="dxa"/>
        <w:tblLayout w:type="fixed"/>
        <w:tblLook w:val="04A0"/>
      </w:tblPr>
      <w:tblGrid>
        <w:gridCol w:w="510"/>
        <w:gridCol w:w="2642"/>
        <w:gridCol w:w="857"/>
        <w:gridCol w:w="740"/>
        <w:gridCol w:w="1171"/>
        <w:gridCol w:w="851"/>
        <w:gridCol w:w="708"/>
        <w:gridCol w:w="1276"/>
      </w:tblGrid>
      <w:tr w:rsidR="004C5557" w:rsidRPr="009A148D" w:rsidTr="00BF4BC3">
        <w:tc>
          <w:tcPr>
            <w:tcW w:w="510" w:type="dxa"/>
            <w:vMerge w:val="restart"/>
          </w:tcPr>
          <w:p w:rsidR="004C5557" w:rsidRPr="00EE73F2" w:rsidRDefault="004C5557" w:rsidP="00BF4BC3">
            <w:pPr>
              <w:tabs>
                <w:tab w:val="left" w:pos="1089"/>
              </w:tabs>
              <w:jc w:val="center"/>
              <w:rPr>
                <w:rFonts w:ascii="Arial" w:hAnsi="Arial" w:cs="Arial"/>
                <w:sz w:val="18"/>
                <w:szCs w:val="18"/>
              </w:rPr>
            </w:pPr>
            <w:r w:rsidRPr="00EE73F2">
              <w:rPr>
                <w:rFonts w:ascii="Arial" w:hAnsi="Arial" w:cs="Arial"/>
                <w:sz w:val="18"/>
                <w:szCs w:val="18"/>
              </w:rPr>
              <w:t>No</w:t>
            </w:r>
          </w:p>
        </w:tc>
        <w:tc>
          <w:tcPr>
            <w:tcW w:w="2642" w:type="dxa"/>
            <w:vMerge w:val="restart"/>
          </w:tcPr>
          <w:p w:rsidR="004C5557" w:rsidRPr="00EE73F2" w:rsidRDefault="004C5557" w:rsidP="00BF4BC3">
            <w:pPr>
              <w:tabs>
                <w:tab w:val="left" w:pos="1089"/>
              </w:tabs>
              <w:jc w:val="center"/>
              <w:rPr>
                <w:rFonts w:ascii="Arial" w:hAnsi="Arial" w:cs="Arial"/>
                <w:sz w:val="18"/>
                <w:szCs w:val="18"/>
              </w:rPr>
            </w:pPr>
            <w:r w:rsidRPr="00EE73F2">
              <w:rPr>
                <w:rFonts w:ascii="Arial" w:hAnsi="Arial" w:cs="Arial"/>
                <w:sz w:val="18"/>
                <w:szCs w:val="18"/>
              </w:rPr>
              <w:t>INDIKATOR</w:t>
            </w:r>
          </w:p>
        </w:tc>
        <w:tc>
          <w:tcPr>
            <w:tcW w:w="2768" w:type="dxa"/>
            <w:gridSpan w:val="3"/>
          </w:tcPr>
          <w:p w:rsidR="004C5557" w:rsidRPr="00EE73F2" w:rsidRDefault="004C5557" w:rsidP="00BF4BC3">
            <w:pPr>
              <w:tabs>
                <w:tab w:val="left" w:pos="1089"/>
              </w:tabs>
              <w:jc w:val="center"/>
              <w:rPr>
                <w:rFonts w:ascii="Arial" w:hAnsi="Arial" w:cs="Arial"/>
                <w:sz w:val="18"/>
                <w:szCs w:val="18"/>
              </w:rPr>
            </w:pPr>
            <w:r w:rsidRPr="00EE73F2">
              <w:rPr>
                <w:rFonts w:ascii="Arial" w:hAnsi="Arial" w:cs="Arial"/>
                <w:sz w:val="18"/>
                <w:szCs w:val="18"/>
              </w:rPr>
              <w:t>PENCAPAIAN BULAN</w:t>
            </w:r>
          </w:p>
        </w:tc>
        <w:tc>
          <w:tcPr>
            <w:tcW w:w="851" w:type="dxa"/>
            <w:vMerge w:val="restart"/>
          </w:tcPr>
          <w:p w:rsidR="004C5557" w:rsidRPr="00EE73F2" w:rsidRDefault="004C5557" w:rsidP="00BF4BC3">
            <w:pPr>
              <w:tabs>
                <w:tab w:val="left" w:pos="1089"/>
              </w:tabs>
              <w:jc w:val="center"/>
              <w:rPr>
                <w:rFonts w:ascii="Arial" w:hAnsi="Arial" w:cs="Arial"/>
                <w:sz w:val="18"/>
                <w:szCs w:val="18"/>
              </w:rPr>
            </w:pPr>
            <w:r w:rsidRPr="00EE73F2">
              <w:rPr>
                <w:rFonts w:ascii="Arial" w:hAnsi="Arial" w:cs="Arial"/>
                <w:sz w:val="18"/>
                <w:szCs w:val="18"/>
              </w:rPr>
              <w:t>RATA-</w:t>
            </w:r>
          </w:p>
          <w:p w:rsidR="004C5557" w:rsidRPr="00EE73F2" w:rsidRDefault="004C5557" w:rsidP="00BF4BC3">
            <w:pPr>
              <w:tabs>
                <w:tab w:val="left" w:pos="1089"/>
              </w:tabs>
              <w:jc w:val="center"/>
              <w:rPr>
                <w:rFonts w:ascii="Arial" w:hAnsi="Arial" w:cs="Arial"/>
                <w:sz w:val="18"/>
                <w:szCs w:val="18"/>
              </w:rPr>
            </w:pPr>
            <w:r w:rsidRPr="00EE73F2">
              <w:rPr>
                <w:rFonts w:ascii="Arial" w:hAnsi="Arial" w:cs="Arial"/>
                <w:sz w:val="18"/>
                <w:szCs w:val="18"/>
              </w:rPr>
              <w:t>RATA</w:t>
            </w:r>
          </w:p>
        </w:tc>
        <w:tc>
          <w:tcPr>
            <w:tcW w:w="708" w:type="dxa"/>
            <w:vMerge w:val="restart"/>
          </w:tcPr>
          <w:p w:rsidR="004C5557" w:rsidRPr="006D0231" w:rsidRDefault="004C5557" w:rsidP="00BF4BC3">
            <w:pPr>
              <w:tabs>
                <w:tab w:val="left" w:pos="1089"/>
              </w:tabs>
              <w:jc w:val="center"/>
              <w:rPr>
                <w:rFonts w:ascii="Arial" w:hAnsi="Arial" w:cs="Arial"/>
                <w:sz w:val="18"/>
                <w:szCs w:val="18"/>
                <w:lang w:val="en-US"/>
              </w:rPr>
            </w:pPr>
            <w:proofErr w:type="spellStart"/>
            <w:r>
              <w:rPr>
                <w:rFonts w:ascii="Arial" w:hAnsi="Arial" w:cs="Arial"/>
                <w:sz w:val="18"/>
                <w:szCs w:val="18"/>
                <w:lang w:val="en-US"/>
              </w:rPr>
              <w:t>Standart</w:t>
            </w:r>
            <w:proofErr w:type="spellEnd"/>
          </w:p>
        </w:tc>
        <w:tc>
          <w:tcPr>
            <w:tcW w:w="1276" w:type="dxa"/>
            <w:vMerge w:val="restart"/>
          </w:tcPr>
          <w:p w:rsidR="004C5557" w:rsidRPr="009A148D" w:rsidRDefault="004C5557" w:rsidP="00BF4BC3">
            <w:pPr>
              <w:tabs>
                <w:tab w:val="left" w:pos="1089"/>
              </w:tabs>
              <w:jc w:val="center"/>
              <w:rPr>
                <w:rFonts w:ascii="Arial" w:hAnsi="Arial" w:cs="Arial"/>
                <w:sz w:val="18"/>
                <w:szCs w:val="18"/>
                <w:lang w:val="en-US"/>
              </w:rPr>
            </w:pPr>
            <w:r>
              <w:rPr>
                <w:rFonts w:ascii="Arial" w:hAnsi="Arial" w:cs="Arial"/>
                <w:sz w:val="18"/>
                <w:szCs w:val="18"/>
                <w:lang w:val="en-US"/>
              </w:rPr>
              <w:t>RTL</w:t>
            </w:r>
          </w:p>
        </w:tc>
      </w:tr>
      <w:tr w:rsidR="004C5557" w:rsidRPr="00EE73F2" w:rsidTr="00BF4BC3">
        <w:tc>
          <w:tcPr>
            <w:tcW w:w="510" w:type="dxa"/>
            <w:vMerge/>
          </w:tcPr>
          <w:p w:rsidR="004C5557" w:rsidRPr="00EE73F2" w:rsidRDefault="004C5557" w:rsidP="00BF4BC3">
            <w:pPr>
              <w:tabs>
                <w:tab w:val="left" w:pos="1089"/>
              </w:tabs>
              <w:jc w:val="center"/>
              <w:rPr>
                <w:rFonts w:ascii="Arial" w:hAnsi="Arial" w:cs="Arial"/>
                <w:sz w:val="18"/>
                <w:szCs w:val="18"/>
              </w:rPr>
            </w:pPr>
          </w:p>
        </w:tc>
        <w:tc>
          <w:tcPr>
            <w:tcW w:w="2642" w:type="dxa"/>
            <w:vMerge/>
          </w:tcPr>
          <w:p w:rsidR="004C5557" w:rsidRPr="00EE73F2" w:rsidRDefault="004C5557" w:rsidP="00BF4BC3">
            <w:pPr>
              <w:tabs>
                <w:tab w:val="left" w:pos="1089"/>
              </w:tabs>
              <w:jc w:val="center"/>
              <w:rPr>
                <w:rFonts w:ascii="Arial" w:hAnsi="Arial" w:cs="Arial"/>
                <w:sz w:val="18"/>
                <w:szCs w:val="18"/>
              </w:rPr>
            </w:pPr>
          </w:p>
        </w:tc>
        <w:tc>
          <w:tcPr>
            <w:tcW w:w="857" w:type="dxa"/>
          </w:tcPr>
          <w:p w:rsidR="004C5557" w:rsidRPr="009D4616" w:rsidRDefault="004C5557" w:rsidP="00BF4BC3">
            <w:pPr>
              <w:tabs>
                <w:tab w:val="left" w:pos="1089"/>
              </w:tabs>
              <w:jc w:val="both"/>
              <w:rPr>
                <w:rFonts w:ascii="Arial" w:hAnsi="Arial" w:cs="Arial"/>
                <w:sz w:val="18"/>
                <w:szCs w:val="18"/>
              </w:rPr>
            </w:pPr>
            <w:r>
              <w:rPr>
                <w:rFonts w:ascii="Arial" w:hAnsi="Arial" w:cs="Arial"/>
                <w:sz w:val="18"/>
                <w:szCs w:val="18"/>
              </w:rPr>
              <w:t>Oktober</w:t>
            </w:r>
          </w:p>
        </w:tc>
        <w:tc>
          <w:tcPr>
            <w:tcW w:w="740" w:type="dxa"/>
          </w:tcPr>
          <w:p w:rsidR="004C5557" w:rsidRPr="00EE73F2" w:rsidRDefault="004C5557" w:rsidP="00BF4BC3">
            <w:pPr>
              <w:tabs>
                <w:tab w:val="left" w:pos="1089"/>
              </w:tabs>
              <w:jc w:val="center"/>
              <w:rPr>
                <w:rFonts w:ascii="Arial" w:hAnsi="Arial" w:cs="Arial"/>
                <w:sz w:val="18"/>
                <w:szCs w:val="18"/>
              </w:rPr>
            </w:pPr>
            <w:r>
              <w:rPr>
                <w:rFonts w:ascii="Arial" w:hAnsi="Arial" w:cs="Arial"/>
                <w:sz w:val="18"/>
                <w:szCs w:val="18"/>
              </w:rPr>
              <w:t>Nop</w:t>
            </w:r>
          </w:p>
        </w:tc>
        <w:tc>
          <w:tcPr>
            <w:tcW w:w="1171" w:type="dxa"/>
          </w:tcPr>
          <w:p w:rsidR="004C5557" w:rsidRPr="00EE73F2" w:rsidRDefault="004C5557" w:rsidP="00BF4BC3">
            <w:pPr>
              <w:tabs>
                <w:tab w:val="left" w:pos="1089"/>
              </w:tabs>
              <w:jc w:val="center"/>
              <w:rPr>
                <w:rFonts w:ascii="Arial" w:hAnsi="Arial" w:cs="Arial"/>
                <w:sz w:val="18"/>
                <w:szCs w:val="18"/>
              </w:rPr>
            </w:pPr>
            <w:r>
              <w:rPr>
                <w:rFonts w:ascii="Arial" w:hAnsi="Arial" w:cs="Arial"/>
                <w:sz w:val="18"/>
                <w:szCs w:val="18"/>
              </w:rPr>
              <w:t>Desember</w:t>
            </w:r>
          </w:p>
        </w:tc>
        <w:tc>
          <w:tcPr>
            <w:tcW w:w="851" w:type="dxa"/>
            <w:vMerge/>
          </w:tcPr>
          <w:p w:rsidR="004C5557" w:rsidRPr="00EE73F2" w:rsidRDefault="004C5557" w:rsidP="00BF4BC3">
            <w:pPr>
              <w:tabs>
                <w:tab w:val="left" w:pos="1089"/>
              </w:tabs>
              <w:jc w:val="center"/>
              <w:rPr>
                <w:rFonts w:ascii="Arial" w:hAnsi="Arial" w:cs="Arial"/>
                <w:sz w:val="18"/>
                <w:szCs w:val="18"/>
              </w:rPr>
            </w:pPr>
          </w:p>
        </w:tc>
        <w:tc>
          <w:tcPr>
            <w:tcW w:w="708" w:type="dxa"/>
            <w:vMerge/>
          </w:tcPr>
          <w:p w:rsidR="004C5557" w:rsidRPr="00EE73F2" w:rsidRDefault="004C5557" w:rsidP="00BF4BC3">
            <w:pPr>
              <w:tabs>
                <w:tab w:val="left" w:pos="1089"/>
              </w:tabs>
              <w:jc w:val="center"/>
              <w:rPr>
                <w:rFonts w:ascii="Arial" w:hAnsi="Arial" w:cs="Arial"/>
                <w:sz w:val="18"/>
                <w:szCs w:val="18"/>
              </w:rPr>
            </w:pPr>
          </w:p>
        </w:tc>
        <w:tc>
          <w:tcPr>
            <w:tcW w:w="1276" w:type="dxa"/>
            <w:vMerge/>
          </w:tcPr>
          <w:p w:rsidR="004C5557" w:rsidRPr="00EE73F2" w:rsidRDefault="004C5557" w:rsidP="00BF4BC3">
            <w:pPr>
              <w:tabs>
                <w:tab w:val="left" w:pos="1089"/>
              </w:tabs>
              <w:jc w:val="center"/>
              <w:rPr>
                <w:rFonts w:ascii="Arial" w:hAnsi="Arial" w:cs="Arial"/>
                <w:sz w:val="18"/>
                <w:szCs w:val="18"/>
              </w:rPr>
            </w:pPr>
          </w:p>
        </w:tc>
      </w:tr>
      <w:tr w:rsidR="004C5557" w:rsidRPr="004154F5" w:rsidTr="00BF4BC3">
        <w:trPr>
          <w:trHeight w:val="540"/>
        </w:trPr>
        <w:tc>
          <w:tcPr>
            <w:tcW w:w="510" w:type="dxa"/>
          </w:tcPr>
          <w:p w:rsidR="004C5557" w:rsidRPr="00EE73F2" w:rsidRDefault="004C5557" w:rsidP="00BF4BC3">
            <w:pPr>
              <w:tabs>
                <w:tab w:val="left" w:pos="1089"/>
              </w:tabs>
              <w:jc w:val="center"/>
              <w:rPr>
                <w:rFonts w:ascii="Arial" w:hAnsi="Arial" w:cs="Arial"/>
                <w:sz w:val="18"/>
                <w:szCs w:val="18"/>
              </w:rPr>
            </w:pPr>
            <w:r w:rsidRPr="00EE73F2">
              <w:rPr>
                <w:rFonts w:ascii="Arial" w:hAnsi="Arial" w:cs="Arial"/>
                <w:sz w:val="18"/>
                <w:szCs w:val="18"/>
              </w:rPr>
              <w:t>1</w:t>
            </w:r>
          </w:p>
        </w:tc>
        <w:tc>
          <w:tcPr>
            <w:tcW w:w="2642" w:type="dxa"/>
          </w:tcPr>
          <w:p w:rsidR="004C5557" w:rsidRPr="004E7E67" w:rsidRDefault="004C5557" w:rsidP="00BF4BC3">
            <w:pPr>
              <w:spacing w:line="360" w:lineRule="auto"/>
              <w:jc w:val="both"/>
              <w:rPr>
                <w:rFonts w:ascii="Arial" w:hAnsi="Arial" w:cs="Arial"/>
              </w:rPr>
            </w:pPr>
            <w:r w:rsidRPr="00093699">
              <w:rPr>
                <w:rFonts w:ascii="Arial" w:hAnsi="Arial" w:cs="Arial"/>
              </w:rPr>
              <w:t>Emergency Respon Time (EMT)</w:t>
            </w:r>
          </w:p>
        </w:tc>
        <w:tc>
          <w:tcPr>
            <w:tcW w:w="857" w:type="dxa"/>
          </w:tcPr>
          <w:p w:rsidR="004C5557" w:rsidRDefault="004C5557" w:rsidP="00BF4BC3">
            <w:pPr>
              <w:jc w:val="center"/>
              <w:rPr>
                <w:rFonts w:cs="Calibri"/>
                <w:color w:val="000000"/>
              </w:rPr>
            </w:pPr>
            <w:r>
              <w:rPr>
                <w:rFonts w:cs="Calibri"/>
                <w:color w:val="000000"/>
              </w:rPr>
              <w:t>100</w:t>
            </w:r>
          </w:p>
        </w:tc>
        <w:tc>
          <w:tcPr>
            <w:tcW w:w="740" w:type="dxa"/>
          </w:tcPr>
          <w:p w:rsidR="004C5557" w:rsidRDefault="004C5557" w:rsidP="00BF4BC3">
            <w:pPr>
              <w:jc w:val="center"/>
              <w:rPr>
                <w:rFonts w:cs="Calibri"/>
                <w:color w:val="000000"/>
              </w:rPr>
            </w:pPr>
            <w:r>
              <w:rPr>
                <w:rFonts w:cs="Calibri"/>
                <w:color w:val="000000"/>
              </w:rPr>
              <w:t>99</w:t>
            </w:r>
          </w:p>
        </w:tc>
        <w:tc>
          <w:tcPr>
            <w:tcW w:w="1171" w:type="dxa"/>
          </w:tcPr>
          <w:p w:rsidR="004C5557" w:rsidRDefault="004C5557" w:rsidP="00BF4BC3">
            <w:pPr>
              <w:jc w:val="center"/>
              <w:rPr>
                <w:rFonts w:cs="Calibri"/>
                <w:color w:val="000000"/>
              </w:rPr>
            </w:pPr>
            <w:r>
              <w:rPr>
                <w:rFonts w:cs="Calibri"/>
                <w:color w:val="000000"/>
              </w:rPr>
              <w:t>100</w:t>
            </w:r>
          </w:p>
        </w:tc>
        <w:tc>
          <w:tcPr>
            <w:tcW w:w="851" w:type="dxa"/>
          </w:tcPr>
          <w:p w:rsidR="004C5557" w:rsidRDefault="004C5557" w:rsidP="00BF4BC3">
            <w:pPr>
              <w:jc w:val="center"/>
              <w:rPr>
                <w:rFonts w:cs="Calibri"/>
                <w:color w:val="000000"/>
              </w:rPr>
            </w:pPr>
            <w:r>
              <w:rPr>
                <w:rFonts w:cs="Calibri"/>
                <w:color w:val="000000"/>
              </w:rPr>
              <w:t>99.8</w:t>
            </w:r>
          </w:p>
        </w:tc>
        <w:tc>
          <w:tcPr>
            <w:tcW w:w="708" w:type="dxa"/>
          </w:tcPr>
          <w:p w:rsidR="004C5557" w:rsidRPr="004154F5" w:rsidRDefault="004C5557" w:rsidP="00BF4BC3">
            <w:pPr>
              <w:tabs>
                <w:tab w:val="left" w:pos="1089"/>
              </w:tabs>
              <w:jc w:val="center"/>
              <w:rPr>
                <w:rFonts w:ascii="Arial" w:hAnsi="Arial" w:cs="Arial"/>
                <w:sz w:val="18"/>
                <w:szCs w:val="18"/>
                <w:lang w:val="en-US"/>
              </w:rPr>
            </w:pPr>
            <w:r>
              <w:rPr>
                <w:rFonts w:ascii="Arial" w:hAnsi="Arial" w:cs="Arial"/>
                <w:sz w:val="18"/>
                <w:szCs w:val="18"/>
                <w:lang w:val="en-US"/>
              </w:rPr>
              <w:t>100%</w:t>
            </w:r>
          </w:p>
        </w:tc>
        <w:tc>
          <w:tcPr>
            <w:tcW w:w="1276" w:type="dxa"/>
          </w:tcPr>
          <w:p w:rsidR="004C5557" w:rsidRDefault="004C5557" w:rsidP="00BF4BC3">
            <w:pPr>
              <w:rPr>
                <w:rFonts w:ascii="Arial" w:hAnsi="Arial" w:cs="Arial"/>
                <w:sz w:val="18"/>
                <w:szCs w:val="18"/>
                <w:lang w:val="en-US"/>
              </w:rPr>
            </w:pPr>
          </w:p>
          <w:p w:rsidR="004C5557" w:rsidRDefault="004C5557" w:rsidP="00BF4BC3">
            <w:pPr>
              <w:rPr>
                <w:rFonts w:ascii="Arial" w:hAnsi="Arial" w:cs="Arial"/>
                <w:sz w:val="18"/>
                <w:szCs w:val="18"/>
                <w:lang w:val="en-US"/>
              </w:rPr>
            </w:pPr>
          </w:p>
          <w:p w:rsidR="004C5557" w:rsidRPr="004154F5" w:rsidRDefault="004C5557" w:rsidP="00BF4BC3">
            <w:pPr>
              <w:tabs>
                <w:tab w:val="left" w:pos="1089"/>
              </w:tabs>
              <w:jc w:val="center"/>
              <w:rPr>
                <w:rFonts w:ascii="Arial" w:hAnsi="Arial" w:cs="Arial"/>
                <w:sz w:val="18"/>
                <w:szCs w:val="18"/>
                <w:lang w:val="en-US"/>
              </w:rPr>
            </w:pPr>
          </w:p>
        </w:tc>
      </w:tr>
      <w:tr w:rsidR="004C5557" w:rsidRPr="004154F5" w:rsidTr="00BF4BC3">
        <w:trPr>
          <w:trHeight w:val="510"/>
        </w:trPr>
        <w:tc>
          <w:tcPr>
            <w:tcW w:w="510" w:type="dxa"/>
          </w:tcPr>
          <w:p w:rsidR="004C5557" w:rsidRPr="00093699" w:rsidRDefault="004C5557" w:rsidP="00BF4BC3">
            <w:pPr>
              <w:tabs>
                <w:tab w:val="left" w:pos="1089"/>
              </w:tabs>
              <w:jc w:val="center"/>
              <w:rPr>
                <w:rFonts w:ascii="Arial" w:hAnsi="Arial" w:cs="Arial"/>
                <w:sz w:val="18"/>
                <w:szCs w:val="18"/>
                <w:lang w:val="en-US"/>
              </w:rPr>
            </w:pPr>
            <w:r>
              <w:rPr>
                <w:rFonts w:ascii="Arial" w:hAnsi="Arial" w:cs="Arial"/>
                <w:sz w:val="18"/>
                <w:szCs w:val="18"/>
                <w:lang w:val="en-US"/>
              </w:rPr>
              <w:t>2</w:t>
            </w:r>
          </w:p>
        </w:tc>
        <w:tc>
          <w:tcPr>
            <w:tcW w:w="2642" w:type="dxa"/>
          </w:tcPr>
          <w:p w:rsidR="004C5557" w:rsidRPr="004E7E67" w:rsidRDefault="004C5557" w:rsidP="00BF4BC3">
            <w:pPr>
              <w:spacing w:line="360" w:lineRule="auto"/>
              <w:jc w:val="both"/>
              <w:rPr>
                <w:rFonts w:ascii="Arial" w:hAnsi="Arial" w:cs="Arial"/>
              </w:rPr>
            </w:pPr>
            <w:r w:rsidRPr="00093699">
              <w:rPr>
                <w:rFonts w:ascii="Arial" w:hAnsi="Arial" w:cs="Arial"/>
              </w:rPr>
              <w:t>Penundaan Operasi Elektif</w:t>
            </w:r>
          </w:p>
        </w:tc>
        <w:tc>
          <w:tcPr>
            <w:tcW w:w="857" w:type="dxa"/>
          </w:tcPr>
          <w:p w:rsidR="004C5557" w:rsidRDefault="004C5557" w:rsidP="00BF4BC3">
            <w:pPr>
              <w:jc w:val="center"/>
              <w:rPr>
                <w:color w:val="000000"/>
              </w:rPr>
            </w:pPr>
            <w:r>
              <w:rPr>
                <w:color w:val="000000"/>
              </w:rPr>
              <w:t>2</w:t>
            </w:r>
          </w:p>
        </w:tc>
        <w:tc>
          <w:tcPr>
            <w:tcW w:w="740" w:type="dxa"/>
          </w:tcPr>
          <w:p w:rsidR="004C5557" w:rsidRDefault="004C5557" w:rsidP="00BF4BC3">
            <w:pPr>
              <w:jc w:val="center"/>
              <w:rPr>
                <w:color w:val="000000"/>
              </w:rPr>
            </w:pPr>
            <w:r>
              <w:rPr>
                <w:color w:val="000000"/>
              </w:rPr>
              <w:t>2</w:t>
            </w:r>
          </w:p>
        </w:tc>
        <w:tc>
          <w:tcPr>
            <w:tcW w:w="1171" w:type="dxa"/>
          </w:tcPr>
          <w:p w:rsidR="004C5557" w:rsidRDefault="004C5557" w:rsidP="00BF4BC3">
            <w:pPr>
              <w:jc w:val="center"/>
              <w:rPr>
                <w:color w:val="000000"/>
              </w:rPr>
            </w:pPr>
            <w:r>
              <w:rPr>
                <w:color w:val="000000"/>
              </w:rPr>
              <w:t>1</w:t>
            </w:r>
          </w:p>
        </w:tc>
        <w:tc>
          <w:tcPr>
            <w:tcW w:w="851" w:type="dxa"/>
          </w:tcPr>
          <w:p w:rsidR="004C5557" w:rsidRDefault="004C5557" w:rsidP="00BF4BC3">
            <w:pPr>
              <w:jc w:val="center"/>
              <w:rPr>
                <w:color w:val="000000"/>
              </w:rPr>
            </w:pPr>
            <w:r>
              <w:rPr>
                <w:color w:val="000000"/>
              </w:rPr>
              <w:t>1,6</w:t>
            </w:r>
          </w:p>
        </w:tc>
        <w:tc>
          <w:tcPr>
            <w:tcW w:w="708" w:type="dxa"/>
          </w:tcPr>
          <w:p w:rsidR="004C5557" w:rsidRDefault="004C5557" w:rsidP="00BF4BC3">
            <w:pPr>
              <w:tabs>
                <w:tab w:val="left" w:pos="1089"/>
              </w:tabs>
              <w:jc w:val="center"/>
              <w:rPr>
                <w:rFonts w:ascii="Arial" w:hAnsi="Arial" w:cs="Arial"/>
                <w:sz w:val="18"/>
                <w:szCs w:val="18"/>
                <w:lang w:val="en-US"/>
              </w:rPr>
            </w:pPr>
            <w:r>
              <w:rPr>
                <w:rFonts w:ascii="Arial" w:hAnsi="Arial" w:cs="Arial"/>
                <w:sz w:val="18"/>
                <w:szCs w:val="18"/>
                <w:lang w:val="en-US"/>
              </w:rPr>
              <w:t>&lt;5%</w:t>
            </w:r>
          </w:p>
        </w:tc>
        <w:tc>
          <w:tcPr>
            <w:tcW w:w="1276" w:type="dxa"/>
          </w:tcPr>
          <w:p w:rsidR="004C5557" w:rsidRDefault="004C5557" w:rsidP="00BF4BC3">
            <w:pPr>
              <w:rPr>
                <w:rFonts w:ascii="Arial" w:hAnsi="Arial" w:cs="Arial"/>
                <w:sz w:val="18"/>
                <w:szCs w:val="18"/>
                <w:lang w:val="en-US"/>
              </w:rPr>
            </w:pPr>
          </w:p>
          <w:p w:rsidR="004C5557" w:rsidRDefault="004C5557" w:rsidP="00BF4BC3">
            <w:pPr>
              <w:rPr>
                <w:rFonts w:ascii="Arial" w:hAnsi="Arial" w:cs="Arial"/>
                <w:sz w:val="18"/>
                <w:szCs w:val="18"/>
                <w:lang w:val="en-US"/>
              </w:rPr>
            </w:pPr>
          </w:p>
          <w:p w:rsidR="004C5557" w:rsidRDefault="004C5557" w:rsidP="00BF4BC3">
            <w:pPr>
              <w:tabs>
                <w:tab w:val="left" w:pos="1089"/>
              </w:tabs>
              <w:jc w:val="center"/>
              <w:rPr>
                <w:rFonts w:ascii="Arial" w:hAnsi="Arial" w:cs="Arial"/>
                <w:sz w:val="18"/>
                <w:szCs w:val="18"/>
                <w:lang w:val="en-US"/>
              </w:rPr>
            </w:pPr>
          </w:p>
        </w:tc>
      </w:tr>
      <w:tr w:rsidR="004C5557" w:rsidRPr="004154F5" w:rsidTr="00BF4BC3">
        <w:trPr>
          <w:trHeight w:val="405"/>
        </w:trPr>
        <w:tc>
          <w:tcPr>
            <w:tcW w:w="510" w:type="dxa"/>
          </w:tcPr>
          <w:p w:rsidR="004C5557" w:rsidRPr="00093699" w:rsidRDefault="004C5557" w:rsidP="00BF4BC3">
            <w:pPr>
              <w:tabs>
                <w:tab w:val="left" w:pos="1089"/>
              </w:tabs>
              <w:jc w:val="center"/>
              <w:rPr>
                <w:rFonts w:ascii="Arial" w:hAnsi="Arial" w:cs="Arial"/>
                <w:sz w:val="18"/>
                <w:szCs w:val="18"/>
                <w:lang w:val="en-US"/>
              </w:rPr>
            </w:pPr>
            <w:r>
              <w:rPr>
                <w:rFonts w:ascii="Arial" w:hAnsi="Arial" w:cs="Arial"/>
                <w:sz w:val="18"/>
                <w:szCs w:val="18"/>
                <w:lang w:val="en-US"/>
              </w:rPr>
              <w:t>3</w:t>
            </w:r>
          </w:p>
        </w:tc>
        <w:tc>
          <w:tcPr>
            <w:tcW w:w="2642" w:type="dxa"/>
          </w:tcPr>
          <w:p w:rsidR="004C5557" w:rsidRPr="004E7E67" w:rsidRDefault="004C5557" w:rsidP="00BF4BC3">
            <w:pPr>
              <w:spacing w:line="360" w:lineRule="auto"/>
              <w:jc w:val="both"/>
              <w:rPr>
                <w:rFonts w:ascii="Arial" w:hAnsi="Arial" w:cs="Arial"/>
              </w:rPr>
            </w:pPr>
            <w:r w:rsidRPr="00093699">
              <w:rPr>
                <w:rFonts w:ascii="Arial" w:hAnsi="Arial" w:cs="Arial"/>
              </w:rPr>
              <w:t>Kepatuhan Penggunaan Formularium Nasional (FORNAS)</w:t>
            </w:r>
          </w:p>
        </w:tc>
        <w:tc>
          <w:tcPr>
            <w:tcW w:w="857" w:type="dxa"/>
          </w:tcPr>
          <w:p w:rsidR="004C5557" w:rsidRDefault="004C5557" w:rsidP="00BF4BC3">
            <w:pPr>
              <w:jc w:val="center"/>
              <w:rPr>
                <w:color w:val="000000"/>
                <w:sz w:val="22"/>
                <w:szCs w:val="22"/>
              </w:rPr>
            </w:pPr>
            <w:r>
              <w:rPr>
                <w:color w:val="000000"/>
                <w:sz w:val="22"/>
                <w:szCs w:val="22"/>
              </w:rPr>
              <w:t>86,0</w:t>
            </w:r>
          </w:p>
        </w:tc>
        <w:tc>
          <w:tcPr>
            <w:tcW w:w="740" w:type="dxa"/>
          </w:tcPr>
          <w:p w:rsidR="004C5557" w:rsidRDefault="004C5557" w:rsidP="00BF4BC3">
            <w:pPr>
              <w:jc w:val="center"/>
              <w:rPr>
                <w:color w:val="000000"/>
                <w:sz w:val="22"/>
                <w:szCs w:val="22"/>
              </w:rPr>
            </w:pPr>
            <w:r>
              <w:rPr>
                <w:color w:val="000000"/>
                <w:sz w:val="22"/>
                <w:szCs w:val="22"/>
              </w:rPr>
              <w:t>86,5</w:t>
            </w:r>
          </w:p>
        </w:tc>
        <w:tc>
          <w:tcPr>
            <w:tcW w:w="1171" w:type="dxa"/>
          </w:tcPr>
          <w:p w:rsidR="004C5557" w:rsidRDefault="004C5557" w:rsidP="00BF4BC3">
            <w:pPr>
              <w:jc w:val="center"/>
              <w:rPr>
                <w:color w:val="000000"/>
                <w:sz w:val="22"/>
                <w:szCs w:val="22"/>
              </w:rPr>
            </w:pPr>
            <w:r>
              <w:rPr>
                <w:color w:val="000000"/>
                <w:sz w:val="22"/>
                <w:szCs w:val="22"/>
              </w:rPr>
              <w:t>87,0</w:t>
            </w:r>
          </w:p>
        </w:tc>
        <w:tc>
          <w:tcPr>
            <w:tcW w:w="851" w:type="dxa"/>
          </w:tcPr>
          <w:p w:rsidR="004C5557" w:rsidRDefault="004C5557" w:rsidP="00BF4BC3">
            <w:pPr>
              <w:jc w:val="center"/>
              <w:rPr>
                <w:color w:val="000000"/>
                <w:sz w:val="22"/>
                <w:szCs w:val="22"/>
              </w:rPr>
            </w:pPr>
            <w:r>
              <w:rPr>
                <w:color w:val="000000"/>
                <w:sz w:val="22"/>
                <w:szCs w:val="22"/>
              </w:rPr>
              <w:t>86,5</w:t>
            </w:r>
          </w:p>
        </w:tc>
        <w:tc>
          <w:tcPr>
            <w:tcW w:w="708" w:type="dxa"/>
          </w:tcPr>
          <w:p w:rsidR="004C5557" w:rsidRDefault="004C5557" w:rsidP="00BF4BC3">
            <w:pPr>
              <w:tabs>
                <w:tab w:val="left" w:pos="1089"/>
              </w:tabs>
              <w:jc w:val="center"/>
              <w:rPr>
                <w:rFonts w:ascii="Arial" w:hAnsi="Arial" w:cs="Arial"/>
                <w:sz w:val="18"/>
                <w:szCs w:val="18"/>
                <w:lang w:val="en-US"/>
              </w:rPr>
            </w:pPr>
            <w:r>
              <w:rPr>
                <w:rFonts w:ascii="Arial" w:hAnsi="Arial" w:cs="Arial"/>
                <w:sz w:val="18"/>
                <w:szCs w:val="18"/>
                <w:lang w:val="en-US"/>
              </w:rPr>
              <w:t>80%</w:t>
            </w:r>
          </w:p>
        </w:tc>
        <w:tc>
          <w:tcPr>
            <w:tcW w:w="1276" w:type="dxa"/>
          </w:tcPr>
          <w:p w:rsidR="004C5557" w:rsidRDefault="004C5557" w:rsidP="00BF4BC3">
            <w:pPr>
              <w:rPr>
                <w:rFonts w:ascii="Arial" w:hAnsi="Arial" w:cs="Arial"/>
                <w:sz w:val="18"/>
                <w:szCs w:val="18"/>
                <w:lang w:val="en-US"/>
              </w:rPr>
            </w:pPr>
          </w:p>
          <w:p w:rsidR="004C5557" w:rsidRDefault="004C5557" w:rsidP="00BF4BC3">
            <w:pPr>
              <w:tabs>
                <w:tab w:val="left" w:pos="1089"/>
              </w:tabs>
              <w:jc w:val="center"/>
              <w:rPr>
                <w:rFonts w:ascii="Arial" w:hAnsi="Arial" w:cs="Arial"/>
                <w:sz w:val="18"/>
                <w:szCs w:val="18"/>
                <w:lang w:val="en-US"/>
              </w:rPr>
            </w:pPr>
          </w:p>
        </w:tc>
      </w:tr>
      <w:tr w:rsidR="004C5557" w:rsidRPr="004154F5" w:rsidTr="00BF4BC3">
        <w:trPr>
          <w:trHeight w:val="390"/>
        </w:trPr>
        <w:tc>
          <w:tcPr>
            <w:tcW w:w="510" w:type="dxa"/>
          </w:tcPr>
          <w:p w:rsidR="004C5557" w:rsidRPr="00093699" w:rsidRDefault="004C5557" w:rsidP="00BF4BC3">
            <w:pPr>
              <w:tabs>
                <w:tab w:val="left" w:pos="1089"/>
              </w:tabs>
              <w:jc w:val="center"/>
              <w:rPr>
                <w:rFonts w:ascii="Arial" w:hAnsi="Arial" w:cs="Arial"/>
                <w:sz w:val="18"/>
                <w:szCs w:val="18"/>
                <w:lang w:val="en-US"/>
              </w:rPr>
            </w:pPr>
            <w:r>
              <w:rPr>
                <w:rFonts w:ascii="Arial" w:hAnsi="Arial" w:cs="Arial"/>
                <w:sz w:val="18"/>
                <w:szCs w:val="18"/>
                <w:lang w:val="en-US"/>
              </w:rPr>
              <w:t>4</w:t>
            </w:r>
          </w:p>
        </w:tc>
        <w:tc>
          <w:tcPr>
            <w:tcW w:w="2642" w:type="dxa"/>
          </w:tcPr>
          <w:p w:rsidR="004C5557" w:rsidRPr="004E7E67" w:rsidRDefault="004C5557" w:rsidP="00BF4BC3">
            <w:pPr>
              <w:spacing w:line="360" w:lineRule="auto"/>
              <w:jc w:val="both"/>
              <w:rPr>
                <w:rFonts w:ascii="Arial" w:hAnsi="Arial" w:cs="Arial"/>
              </w:rPr>
            </w:pPr>
            <w:r w:rsidRPr="00093699">
              <w:rPr>
                <w:rFonts w:ascii="Arial" w:hAnsi="Arial" w:cs="Arial"/>
              </w:rPr>
              <w:t>Kepatuhan Terhadap Clinical Pathway</w:t>
            </w:r>
          </w:p>
        </w:tc>
        <w:tc>
          <w:tcPr>
            <w:tcW w:w="857" w:type="dxa"/>
          </w:tcPr>
          <w:p w:rsidR="004C5557" w:rsidRDefault="004C5557" w:rsidP="00BF4BC3">
            <w:pPr>
              <w:jc w:val="center"/>
              <w:rPr>
                <w:color w:val="000000"/>
              </w:rPr>
            </w:pPr>
            <w:r>
              <w:rPr>
                <w:color w:val="000000"/>
              </w:rPr>
              <w:t>0,0</w:t>
            </w:r>
          </w:p>
        </w:tc>
        <w:tc>
          <w:tcPr>
            <w:tcW w:w="740" w:type="dxa"/>
          </w:tcPr>
          <w:p w:rsidR="004C5557" w:rsidRDefault="004C5557" w:rsidP="00BF4BC3">
            <w:pPr>
              <w:jc w:val="center"/>
              <w:rPr>
                <w:color w:val="000000"/>
              </w:rPr>
            </w:pPr>
            <w:r>
              <w:rPr>
                <w:color w:val="000000"/>
              </w:rPr>
              <w:t>100,0</w:t>
            </w:r>
          </w:p>
        </w:tc>
        <w:tc>
          <w:tcPr>
            <w:tcW w:w="1171" w:type="dxa"/>
          </w:tcPr>
          <w:p w:rsidR="004C5557" w:rsidRDefault="004C5557" w:rsidP="00BF4BC3">
            <w:pPr>
              <w:jc w:val="center"/>
              <w:rPr>
                <w:color w:val="000000"/>
              </w:rPr>
            </w:pPr>
            <w:r>
              <w:rPr>
                <w:color w:val="000000"/>
              </w:rPr>
              <w:t>88,9</w:t>
            </w:r>
          </w:p>
        </w:tc>
        <w:tc>
          <w:tcPr>
            <w:tcW w:w="851" w:type="dxa"/>
          </w:tcPr>
          <w:p w:rsidR="004C5557" w:rsidRDefault="004C5557" w:rsidP="00BF4BC3">
            <w:pPr>
              <w:jc w:val="center"/>
              <w:rPr>
                <w:color w:val="000000"/>
              </w:rPr>
            </w:pPr>
            <w:r>
              <w:rPr>
                <w:color w:val="000000"/>
              </w:rPr>
              <w:t>94</w:t>
            </w:r>
          </w:p>
          <w:p w:rsidR="004C5557" w:rsidRDefault="004C5557" w:rsidP="00BF4BC3">
            <w:pPr>
              <w:jc w:val="center"/>
              <w:rPr>
                <w:color w:val="000000"/>
              </w:rPr>
            </w:pPr>
          </w:p>
        </w:tc>
        <w:tc>
          <w:tcPr>
            <w:tcW w:w="708" w:type="dxa"/>
          </w:tcPr>
          <w:p w:rsidR="004C5557" w:rsidRDefault="004C5557" w:rsidP="00BF4BC3">
            <w:pPr>
              <w:tabs>
                <w:tab w:val="left" w:pos="1089"/>
              </w:tabs>
              <w:jc w:val="center"/>
              <w:rPr>
                <w:rFonts w:ascii="Arial" w:hAnsi="Arial" w:cs="Arial"/>
                <w:sz w:val="18"/>
                <w:szCs w:val="18"/>
                <w:lang w:val="en-US"/>
              </w:rPr>
            </w:pPr>
            <w:r>
              <w:rPr>
                <w:rFonts w:ascii="Arial" w:hAnsi="Arial" w:cs="Arial"/>
                <w:sz w:val="18"/>
                <w:szCs w:val="18"/>
                <w:lang w:val="en-US"/>
              </w:rPr>
              <w:t>80%</w:t>
            </w:r>
          </w:p>
        </w:tc>
        <w:tc>
          <w:tcPr>
            <w:tcW w:w="1276" w:type="dxa"/>
          </w:tcPr>
          <w:p w:rsidR="004C5557" w:rsidRDefault="004C5557" w:rsidP="00BF4BC3">
            <w:pPr>
              <w:tabs>
                <w:tab w:val="left" w:pos="1089"/>
              </w:tabs>
              <w:jc w:val="center"/>
              <w:rPr>
                <w:rFonts w:ascii="Arial" w:hAnsi="Arial" w:cs="Arial"/>
                <w:sz w:val="18"/>
                <w:szCs w:val="18"/>
                <w:lang w:val="en-US"/>
              </w:rPr>
            </w:pPr>
          </w:p>
        </w:tc>
      </w:tr>
    </w:tbl>
    <w:p w:rsidR="004C5557" w:rsidRPr="004C5557" w:rsidRDefault="004C5557" w:rsidP="004C5557">
      <w:pPr>
        <w:spacing w:after="0" w:line="360" w:lineRule="auto"/>
        <w:rPr>
          <w:rFonts w:ascii="Arial" w:hAnsi="Arial" w:cs="Arial"/>
          <w:b/>
          <w:sz w:val="24"/>
          <w:szCs w:val="24"/>
        </w:rPr>
      </w:pPr>
    </w:p>
    <w:tbl>
      <w:tblPr>
        <w:tblStyle w:val="TableGrid"/>
        <w:tblW w:w="8897" w:type="dxa"/>
        <w:tblLayout w:type="fixed"/>
        <w:tblLook w:val="04A0"/>
      </w:tblPr>
      <w:tblGrid>
        <w:gridCol w:w="510"/>
        <w:gridCol w:w="2642"/>
        <w:gridCol w:w="857"/>
        <w:gridCol w:w="740"/>
        <w:gridCol w:w="1203"/>
        <w:gridCol w:w="960"/>
        <w:gridCol w:w="993"/>
        <w:gridCol w:w="992"/>
      </w:tblGrid>
      <w:tr w:rsidR="004C5557" w:rsidRPr="009A148D" w:rsidTr="00BF4BC3">
        <w:tc>
          <w:tcPr>
            <w:tcW w:w="510" w:type="dxa"/>
            <w:vMerge w:val="restart"/>
          </w:tcPr>
          <w:p w:rsidR="004C5557" w:rsidRPr="00EE73F2" w:rsidRDefault="004C5557" w:rsidP="00BF4BC3">
            <w:pPr>
              <w:tabs>
                <w:tab w:val="left" w:pos="1089"/>
              </w:tabs>
              <w:jc w:val="center"/>
              <w:rPr>
                <w:rFonts w:ascii="Arial" w:hAnsi="Arial" w:cs="Arial"/>
                <w:sz w:val="18"/>
                <w:szCs w:val="18"/>
              </w:rPr>
            </w:pPr>
            <w:r w:rsidRPr="00EE73F2">
              <w:rPr>
                <w:rFonts w:ascii="Arial" w:hAnsi="Arial" w:cs="Arial"/>
                <w:sz w:val="18"/>
                <w:szCs w:val="18"/>
              </w:rPr>
              <w:t>No</w:t>
            </w:r>
          </w:p>
        </w:tc>
        <w:tc>
          <w:tcPr>
            <w:tcW w:w="2642" w:type="dxa"/>
            <w:vMerge w:val="restart"/>
          </w:tcPr>
          <w:p w:rsidR="004C5557" w:rsidRPr="00EE73F2" w:rsidRDefault="004C5557" w:rsidP="00BF4BC3">
            <w:pPr>
              <w:tabs>
                <w:tab w:val="left" w:pos="1089"/>
              </w:tabs>
              <w:jc w:val="center"/>
              <w:rPr>
                <w:rFonts w:ascii="Arial" w:hAnsi="Arial" w:cs="Arial"/>
                <w:sz w:val="18"/>
                <w:szCs w:val="18"/>
              </w:rPr>
            </w:pPr>
            <w:r w:rsidRPr="00EE73F2">
              <w:rPr>
                <w:rFonts w:ascii="Arial" w:hAnsi="Arial" w:cs="Arial"/>
                <w:sz w:val="18"/>
                <w:szCs w:val="18"/>
              </w:rPr>
              <w:t>INDIKATOR</w:t>
            </w:r>
          </w:p>
        </w:tc>
        <w:tc>
          <w:tcPr>
            <w:tcW w:w="2800" w:type="dxa"/>
            <w:gridSpan w:val="3"/>
          </w:tcPr>
          <w:p w:rsidR="004C5557" w:rsidRPr="00EE73F2" w:rsidRDefault="004C5557" w:rsidP="00BF4BC3">
            <w:pPr>
              <w:tabs>
                <w:tab w:val="left" w:pos="1089"/>
              </w:tabs>
              <w:jc w:val="center"/>
              <w:rPr>
                <w:rFonts w:ascii="Arial" w:hAnsi="Arial" w:cs="Arial"/>
                <w:sz w:val="18"/>
                <w:szCs w:val="18"/>
              </w:rPr>
            </w:pPr>
            <w:r w:rsidRPr="00EE73F2">
              <w:rPr>
                <w:rFonts w:ascii="Arial" w:hAnsi="Arial" w:cs="Arial"/>
                <w:sz w:val="18"/>
                <w:szCs w:val="18"/>
              </w:rPr>
              <w:t>PENCAPAIAN BULAN</w:t>
            </w:r>
          </w:p>
        </w:tc>
        <w:tc>
          <w:tcPr>
            <w:tcW w:w="960" w:type="dxa"/>
            <w:vMerge w:val="restart"/>
          </w:tcPr>
          <w:p w:rsidR="004C5557" w:rsidRPr="00EE73F2" w:rsidRDefault="004C5557" w:rsidP="00BF4BC3">
            <w:pPr>
              <w:tabs>
                <w:tab w:val="left" w:pos="1089"/>
              </w:tabs>
              <w:jc w:val="center"/>
              <w:rPr>
                <w:rFonts w:ascii="Arial" w:hAnsi="Arial" w:cs="Arial"/>
                <w:sz w:val="18"/>
                <w:szCs w:val="18"/>
              </w:rPr>
            </w:pPr>
            <w:r w:rsidRPr="00EE73F2">
              <w:rPr>
                <w:rFonts w:ascii="Arial" w:hAnsi="Arial" w:cs="Arial"/>
                <w:sz w:val="18"/>
                <w:szCs w:val="18"/>
              </w:rPr>
              <w:t>RATA-</w:t>
            </w:r>
          </w:p>
          <w:p w:rsidR="004C5557" w:rsidRPr="00EE73F2" w:rsidRDefault="004C5557" w:rsidP="00BF4BC3">
            <w:pPr>
              <w:tabs>
                <w:tab w:val="left" w:pos="1089"/>
              </w:tabs>
              <w:jc w:val="center"/>
              <w:rPr>
                <w:rFonts w:ascii="Arial" w:hAnsi="Arial" w:cs="Arial"/>
                <w:sz w:val="18"/>
                <w:szCs w:val="18"/>
              </w:rPr>
            </w:pPr>
            <w:r w:rsidRPr="00EE73F2">
              <w:rPr>
                <w:rFonts w:ascii="Arial" w:hAnsi="Arial" w:cs="Arial"/>
                <w:sz w:val="18"/>
                <w:szCs w:val="18"/>
              </w:rPr>
              <w:t>RATA</w:t>
            </w:r>
          </w:p>
        </w:tc>
        <w:tc>
          <w:tcPr>
            <w:tcW w:w="993" w:type="dxa"/>
            <w:vMerge w:val="restart"/>
          </w:tcPr>
          <w:p w:rsidR="004C5557" w:rsidRPr="006D0231" w:rsidRDefault="004C5557" w:rsidP="00BF4BC3">
            <w:pPr>
              <w:tabs>
                <w:tab w:val="left" w:pos="1089"/>
              </w:tabs>
              <w:jc w:val="center"/>
              <w:rPr>
                <w:rFonts w:ascii="Arial" w:hAnsi="Arial" w:cs="Arial"/>
                <w:sz w:val="18"/>
                <w:szCs w:val="18"/>
                <w:lang w:val="en-US"/>
              </w:rPr>
            </w:pPr>
            <w:proofErr w:type="spellStart"/>
            <w:r>
              <w:rPr>
                <w:rFonts w:ascii="Arial" w:hAnsi="Arial" w:cs="Arial"/>
                <w:sz w:val="18"/>
                <w:szCs w:val="18"/>
                <w:lang w:val="en-US"/>
              </w:rPr>
              <w:t>Standart</w:t>
            </w:r>
            <w:proofErr w:type="spellEnd"/>
          </w:p>
        </w:tc>
        <w:tc>
          <w:tcPr>
            <w:tcW w:w="992" w:type="dxa"/>
            <w:vMerge w:val="restart"/>
          </w:tcPr>
          <w:p w:rsidR="004C5557" w:rsidRPr="009A148D" w:rsidRDefault="004C5557" w:rsidP="00BF4BC3">
            <w:pPr>
              <w:tabs>
                <w:tab w:val="left" w:pos="1089"/>
              </w:tabs>
              <w:jc w:val="center"/>
              <w:rPr>
                <w:rFonts w:ascii="Arial" w:hAnsi="Arial" w:cs="Arial"/>
                <w:sz w:val="18"/>
                <w:szCs w:val="18"/>
                <w:lang w:val="en-US"/>
              </w:rPr>
            </w:pPr>
            <w:r>
              <w:rPr>
                <w:rFonts w:ascii="Arial" w:hAnsi="Arial" w:cs="Arial"/>
                <w:sz w:val="18"/>
                <w:szCs w:val="18"/>
                <w:lang w:val="en-US"/>
              </w:rPr>
              <w:t>RTL</w:t>
            </w:r>
          </w:p>
        </w:tc>
      </w:tr>
      <w:tr w:rsidR="004C5557" w:rsidRPr="00EE73F2" w:rsidTr="00BF4BC3">
        <w:tc>
          <w:tcPr>
            <w:tcW w:w="510" w:type="dxa"/>
            <w:vMerge/>
          </w:tcPr>
          <w:p w:rsidR="004C5557" w:rsidRPr="00EE73F2" w:rsidRDefault="004C5557" w:rsidP="00BF4BC3">
            <w:pPr>
              <w:tabs>
                <w:tab w:val="left" w:pos="1089"/>
              </w:tabs>
              <w:jc w:val="center"/>
              <w:rPr>
                <w:rFonts w:ascii="Arial" w:hAnsi="Arial" w:cs="Arial"/>
                <w:sz w:val="18"/>
                <w:szCs w:val="18"/>
              </w:rPr>
            </w:pPr>
          </w:p>
        </w:tc>
        <w:tc>
          <w:tcPr>
            <w:tcW w:w="2642" w:type="dxa"/>
            <w:vMerge/>
          </w:tcPr>
          <w:p w:rsidR="004C5557" w:rsidRPr="00EE73F2" w:rsidRDefault="004C5557" w:rsidP="00BF4BC3">
            <w:pPr>
              <w:tabs>
                <w:tab w:val="left" w:pos="1089"/>
              </w:tabs>
              <w:jc w:val="center"/>
              <w:rPr>
                <w:rFonts w:ascii="Arial" w:hAnsi="Arial" w:cs="Arial"/>
                <w:sz w:val="18"/>
                <w:szCs w:val="18"/>
              </w:rPr>
            </w:pPr>
          </w:p>
        </w:tc>
        <w:tc>
          <w:tcPr>
            <w:tcW w:w="857" w:type="dxa"/>
          </w:tcPr>
          <w:p w:rsidR="004C5557" w:rsidRPr="009D4616" w:rsidRDefault="004C5557" w:rsidP="00BF4BC3">
            <w:pPr>
              <w:tabs>
                <w:tab w:val="left" w:pos="1089"/>
              </w:tabs>
              <w:jc w:val="both"/>
              <w:rPr>
                <w:rFonts w:ascii="Arial" w:hAnsi="Arial" w:cs="Arial"/>
                <w:sz w:val="18"/>
                <w:szCs w:val="18"/>
              </w:rPr>
            </w:pPr>
            <w:r>
              <w:rPr>
                <w:rFonts w:ascii="Arial" w:hAnsi="Arial" w:cs="Arial"/>
                <w:sz w:val="18"/>
                <w:szCs w:val="18"/>
              </w:rPr>
              <w:t>Oktober</w:t>
            </w:r>
          </w:p>
        </w:tc>
        <w:tc>
          <w:tcPr>
            <w:tcW w:w="740" w:type="dxa"/>
          </w:tcPr>
          <w:p w:rsidR="004C5557" w:rsidRPr="00EE73F2" w:rsidRDefault="004C5557" w:rsidP="00BF4BC3">
            <w:pPr>
              <w:tabs>
                <w:tab w:val="left" w:pos="1089"/>
              </w:tabs>
              <w:jc w:val="center"/>
              <w:rPr>
                <w:rFonts w:ascii="Arial" w:hAnsi="Arial" w:cs="Arial"/>
                <w:sz w:val="18"/>
                <w:szCs w:val="18"/>
              </w:rPr>
            </w:pPr>
            <w:r>
              <w:rPr>
                <w:rFonts w:ascii="Arial" w:hAnsi="Arial" w:cs="Arial"/>
                <w:sz w:val="18"/>
                <w:szCs w:val="18"/>
              </w:rPr>
              <w:t>Nop</w:t>
            </w:r>
          </w:p>
        </w:tc>
        <w:tc>
          <w:tcPr>
            <w:tcW w:w="1203" w:type="dxa"/>
          </w:tcPr>
          <w:p w:rsidR="004C5557" w:rsidRPr="00EE73F2" w:rsidRDefault="004C5557" w:rsidP="00BF4BC3">
            <w:pPr>
              <w:tabs>
                <w:tab w:val="left" w:pos="1089"/>
              </w:tabs>
              <w:jc w:val="center"/>
              <w:rPr>
                <w:rFonts w:ascii="Arial" w:hAnsi="Arial" w:cs="Arial"/>
                <w:sz w:val="18"/>
                <w:szCs w:val="18"/>
              </w:rPr>
            </w:pPr>
            <w:r>
              <w:rPr>
                <w:rFonts w:ascii="Arial" w:hAnsi="Arial" w:cs="Arial"/>
                <w:sz w:val="18"/>
                <w:szCs w:val="18"/>
              </w:rPr>
              <w:t>Desember</w:t>
            </w:r>
          </w:p>
        </w:tc>
        <w:tc>
          <w:tcPr>
            <w:tcW w:w="960" w:type="dxa"/>
            <w:vMerge/>
          </w:tcPr>
          <w:p w:rsidR="004C5557" w:rsidRPr="00EE73F2" w:rsidRDefault="004C5557" w:rsidP="00BF4BC3">
            <w:pPr>
              <w:tabs>
                <w:tab w:val="left" w:pos="1089"/>
              </w:tabs>
              <w:jc w:val="center"/>
              <w:rPr>
                <w:rFonts w:ascii="Arial" w:hAnsi="Arial" w:cs="Arial"/>
                <w:sz w:val="18"/>
                <w:szCs w:val="18"/>
              </w:rPr>
            </w:pPr>
          </w:p>
        </w:tc>
        <w:tc>
          <w:tcPr>
            <w:tcW w:w="993" w:type="dxa"/>
            <w:vMerge/>
          </w:tcPr>
          <w:p w:rsidR="004C5557" w:rsidRPr="00EE73F2" w:rsidRDefault="004C5557" w:rsidP="00BF4BC3">
            <w:pPr>
              <w:tabs>
                <w:tab w:val="left" w:pos="1089"/>
              </w:tabs>
              <w:jc w:val="center"/>
              <w:rPr>
                <w:rFonts w:ascii="Arial" w:hAnsi="Arial" w:cs="Arial"/>
                <w:sz w:val="18"/>
                <w:szCs w:val="18"/>
              </w:rPr>
            </w:pPr>
          </w:p>
        </w:tc>
        <w:tc>
          <w:tcPr>
            <w:tcW w:w="992" w:type="dxa"/>
            <w:vMerge/>
          </w:tcPr>
          <w:p w:rsidR="004C5557" w:rsidRPr="00EE73F2" w:rsidRDefault="004C5557" w:rsidP="00BF4BC3">
            <w:pPr>
              <w:tabs>
                <w:tab w:val="left" w:pos="1089"/>
              </w:tabs>
              <w:jc w:val="center"/>
              <w:rPr>
                <w:rFonts w:ascii="Arial" w:hAnsi="Arial" w:cs="Arial"/>
                <w:sz w:val="18"/>
                <w:szCs w:val="18"/>
              </w:rPr>
            </w:pPr>
          </w:p>
        </w:tc>
      </w:tr>
      <w:tr w:rsidR="004C5557" w:rsidRPr="004154F5" w:rsidTr="00BF4BC3">
        <w:trPr>
          <w:trHeight w:val="555"/>
        </w:trPr>
        <w:tc>
          <w:tcPr>
            <w:tcW w:w="510" w:type="dxa"/>
          </w:tcPr>
          <w:p w:rsidR="004C5557" w:rsidRPr="00EE73F2" w:rsidRDefault="004C5557" w:rsidP="00BF4BC3">
            <w:pPr>
              <w:tabs>
                <w:tab w:val="left" w:pos="1089"/>
              </w:tabs>
              <w:jc w:val="center"/>
              <w:rPr>
                <w:rFonts w:ascii="Arial" w:hAnsi="Arial" w:cs="Arial"/>
                <w:sz w:val="18"/>
                <w:szCs w:val="18"/>
              </w:rPr>
            </w:pPr>
            <w:r w:rsidRPr="00EE73F2">
              <w:rPr>
                <w:rFonts w:ascii="Arial" w:hAnsi="Arial" w:cs="Arial"/>
                <w:sz w:val="18"/>
                <w:szCs w:val="18"/>
              </w:rPr>
              <w:t>1</w:t>
            </w:r>
          </w:p>
        </w:tc>
        <w:tc>
          <w:tcPr>
            <w:tcW w:w="2642" w:type="dxa"/>
          </w:tcPr>
          <w:p w:rsidR="004C5557" w:rsidRPr="004E7E67" w:rsidRDefault="004C5557" w:rsidP="00BF4BC3">
            <w:pPr>
              <w:spacing w:line="360" w:lineRule="auto"/>
              <w:jc w:val="both"/>
              <w:rPr>
                <w:rFonts w:ascii="Arial" w:hAnsi="Arial" w:cs="Arial"/>
              </w:rPr>
            </w:pPr>
            <w:r w:rsidRPr="00093699">
              <w:rPr>
                <w:rFonts w:ascii="Arial" w:hAnsi="Arial" w:cs="Arial"/>
              </w:rPr>
              <w:t>Waktu Tunggu Rawat Jalan</w:t>
            </w:r>
            <w:r>
              <w:rPr>
                <w:rFonts w:ascii="Arial" w:hAnsi="Arial" w:cs="Arial"/>
              </w:rPr>
              <w:t xml:space="preserve"> (kurang dari 60 menit)</w:t>
            </w:r>
          </w:p>
        </w:tc>
        <w:tc>
          <w:tcPr>
            <w:tcW w:w="857" w:type="dxa"/>
          </w:tcPr>
          <w:p w:rsidR="004C5557" w:rsidRDefault="004C5557" w:rsidP="00BF4BC3">
            <w:pPr>
              <w:jc w:val="center"/>
              <w:rPr>
                <w:color w:val="000000"/>
                <w:sz w:val="22"/>
                <w:szCs w:val="22"/>
              </w:rPr>
            </w:pPr>
            <w:r>
              <w:rPr>
                <w:color w:val="000000"/>
                <w:sz w:val="22"/>
                <w:szCs w:val="22"/>
              </w:rPr>
              <w:t>100,0</w:t>
            </w:r>
          </w:p>
        </w:tc>
        <w:tc>
          <w:tcPr>
            <w:tcW w:w="740" w:type="dxa"/>
          </w:tcPr>
          <w:p w:rsidR="004C5557" w:rsidRDefault="004C5557" w:rsidP="00BF4BC3">
            <w:pPr>
              <w:jc w:val="center"/>
              <w:rPr>
                <w:color w:val="000000"/>
                <w:sz w:val="22"/>
                <w:szCs w:val="22"/>
              </w:rPr>
            </w:pPr>
            <w:r>
              <w:rPr>
                <w:color w:val="000000"/>
                <w:sz w:val="22"/>
                <w:szCs w:val="22"/>
              </w:rPr>
              <w:t>59,7</w:t>
            </w:r>
          </w:p>
        </w:tc>
        <w:tc>
          <w:tcPr>
            <w:tcW w:w="1203" w:type="dxa"/>
          </w:tcPr>
          <w:p w:rsidR="004C5557" w:rsidRDefault="004C5557" w:rsidP="00BF4BC3">
            <w:pPr>
              <w:jc w:val="center"/>
              <w:rPr>
                <w:color w:val="000000"/>
                <w:sz w:val="22"/>
                <w:szCs w:val="22"/>
              </w:rPr>
            </w:pPr>
            <w:r>
              <w:rPr>
                <w:color w:val="000000"/>
                <w:sz w:val="22"/>
                <w:szCs w:val="22"/>
              </w:rPr>
              <w:t>83,8</w:t>
            </w:r>
          </w:p>
        </w:tc>
        <w:tc>
          <w:tcPr>
            <w:tcW w:w="960" w:type="dxa"/>
          </w:tcPr>
          <w:p w:rsidR="004C5557" w:rsidRDefault="004C5557" w:rsidP="00BF4BC3">
            <w:pPr>
              <w:jc w:val="center"/>
              <w:rPr>
                <w:color w:val="000000"/>
                <w:sz w:val="22"/>
                <w:szCs w:val="22"/>
              </w:rPr>
            </w:pPr>
            <w:r>
              <w:rPr>
                <w:color w:val="000000"/>
                <w:sz w:val="22"/>
                <w:szCs w:val="22"/>
              </w:rPr>
              <w:t>81,2</w:t>
            </w:r>
          </w:p>
        </w:tc>
        <w:tc>
          <w:tcPr>
            <w:tcW w:w="993" w:type="dxa"/>
          </w:tcPr>
          <w:p w:rsidR="004C5557" w:rsidRPr="004154F5" w:rsidRDefault="004C5557" w:rsidP="00BF4BC3">
            <w:pPr>
              <w:tabs>
                <w:tab w:val="left" w:pos="1089"/>
              </w:tabs>
              <w:jc w:val="center"/>
              <w:rPr>
                <w:rFonts w:ascii="Arial" w:hAnsi="Arial" w:cs="Arial"/>
                <w:sz w:val="18"/>
                <w:szCs w:val="18"/>
                <w:lang w:val="en-US"/>
              </w:rPr>
            </w:pPr>
            <w:r>
              <w:rPr>
                <w:rFonts w:ascii="Arial" w:hAnsi="Arial" w:cs="Arial"/>
                <w:sz w:val="18"/>
                <w:szCs w:val="18"/>
                <w:lang w:val="en-US"/>
              </w:rPr>
              <w:t>60%</w:t>
            </w:r>
          </w:p>
        </w:tc>
        <w:tc>
          <w:tcPr>
            <w:tcW w:w="992" w:type="dxa"/>
          </w:tcPr>
          <w:p w:rsidR="004C5557" w:rsidRDefault="004C5557" w:rsidP="00BF4BC3">
            <w:pPr>
              <w:rPr>
                <w:rFonts w:ascii="Arial" w:hAnsi="Arial" w:cs="Arial"/>
                <w:sz w:val="18"/>
                <w:szCs w:val="18"/>
                <w:lang w:val="en-US"/>
              </w:rPr>
            </w:pPr>
          </w:p>
          <w:p w:rsidR="004C5557" w:rsidRDefault="004C5557" w:rsidP="00BF4BC3">
            <w:pPr>
              <w:rPr>
                <w:rFonts w:ascii="Arial" w:hAnsi="Arial" w:cs="Arial"/>
                <w:sz w:val="18"/>
                <w:szCs w:val="18"/>
                <w:lang w:val="en-US"/>
              </w:rPr>
            </w:pPr>
          </w:p>
          <w:p w:rsidR="004C5557" w:rsidRPr="004154F5" w:rsidRDefault="004C5557" w:rsidP="00BF4BC3">
            <w:pPr>
              <w:tabs>
                <w:tab w:val="left" w:pos="1089"/>
              </w:tabs>
              <w:jc w:val="center"/>
              <w:rPr>
                <w:rFonts w:ascii="Arial" w:hAnsi="Arial" w:cs="Arial"/>
                <w:sz w:val="18"/>
                <w:szCs w:val="18"/>
                <w:lang w:val="en-US"/>
              </w:rPr>
            </w:pPr>
          </w:p>
        </w:tc>
      </w:tr>
      <w:tr w:rsidR="004C5557" w:rsidRPr="004154F5" w:rsidTr="00BF4BC3">
        <w:trPr>
          <w:trHeight w:val="420"/>
        </w:trPr>
        <w:tc>
          <w:tcPr>
            <w:tcW w:w="510" w:type="dxa"/>
          </w:tcPr>
          <w:p w:rsidR="004C5557" w:rsidRPr="00093699" w:rsidRDefault="004C5557" w:rsidP="00BF4BC3">
            <w:pPr>
              <w:tabs>
                <w:tab w:val="left" w:pos="1089"/>
              </w:tabs>
              <w:jc w:val="center"/>
              <w:rPr>
                <w:rFonts w:ascii="Arial" w:hAnsi="Arial" w:cs="Arial"/>
                <w:sz w:val="18"/>
                <w:szCs w:val="18"/>
                <w:lang w:val="en-US"/>
              </w:rPr>
            </w:pPr>
            <w:r>
              <w:rPr>
                <w:rFonts w:ascii="Arial" w:hAnsi="Arial" w:cs="Arial"/>
                <w:sz w:val="18"/>
                <w:szCs w:val="18"/>
                <w:lang w:val="en-US"/>
              </w:rPr>
              <w:t>2</w:t>
            </w:r>
          </w:p>
        </w:tc>
        <w:tc>
          <w:tcPr>
            <w:tcW w:w="2642" w:type="dxa"/>
          </w:tcPr>
          <w:p w:rsidR="004C5557" w:rsidRPr="004E7E67" w:rsidRDefault="004C5557" w:rsidP="00BF4BC3">
            <w:pPr>
              <w:spacing w:line="360" w:lineRule="auto"/>
              <w:jc w:val="both"/>
              <w:rPr>
                <w:rFonts w:ascii="Arial" w:hAnsi="Arial" w:cs="Arial"/>
              </w:rPr>
            </w:pPr>
            <w:r w:rsidRPr="00093699">
              <w:rPr>
                <w:rFonts w:ascii="Arial" w:hAnsi="Arial" w:cs="Arial"/>
              </w:rPr>
              <w:t>Kepatuhan Jam Visite Dokter</w:t>
            </w:r>
          </w:p>
        </w:tc>
        <w:tc>
          <w:tcPr>
            <w:tcW w:w="857" w:type="dxa"/>
          </w:tcPr>
          <w:p w:rsidR="004C5557" w:rsidRDefault="004C5557" w:rsidP="00BF4BC3">
            <w:pPr>
              <w:jc w:val="center"/>
              <w:rPr>
                <w:rFonts w:cs="Calibri"/>
                <w:color w:val="000000"/>
                <w:sz w:val="22"/>
                <w:szCs w:val="22"/>
              </w:rPr>
            </w:pPr>
            <w:r>
              <w:rPr>
                <w:rFonts w:cs="Calibri"/>
                <w:color w:val="000000"/>
                <w:sz w:val="22"/>
                <w:szCs w:val="22"/>
              </w:rPr>
              <w:t>97.1</w:t>
            </w:r>
          </w:p>
        </w:tc>
        <w:tc>
          <w:tcPr>
            <w:tcW w:w="740" w:type="dxa"/>
          </w:tcPr>
          <w:p w:rsidR="004C5557" w:rsidRDefault="004C5557" w:rsidP="00BF4BC3">
            <w:pPr>
              <w:jc w:val="center"/>
              <w:rPr>
                <w:rFonts w:cs="Calibri"/>
                <w:color w:val="000000"/>
                <w:sz w:val="22"/>
                <w:szCs w:val="22"/>
              </w:rPr>
            </w:pPr>
            <w:r>
              <w:rPr>
                <w:rFonts w:cs="Calibri"/>
                <w:color w:val="000000"/>
                <w:sz w:val="22"/>
                <w:szCs w:val="22"/>
              </w:rPr>
              <w:t>93.5</w:t>
            </w:r>
          </w:p>
        </w:tc>
        <w:tc>
          <w:tcPr>
            <w:tcW w:w="1203" w:type="dxa"/>
          </w:tcPr>
          <w:p w:rsidR="004C5557" w:rsidRDefault="004C5557" w:rsidP="00BF4BC3">
            <w:pPr>
              <w:jc w:val="center"/>
              <w:rPr>
                <w:rFonts w:cs="Calibri"/>
                <w:color w:val="000000"/>
                <w:sz w:val="22"/>
                <w:szCs w:val="22"/>
              </w:rPr>
            </w:pPr>
            <w:r>
              <w:rPr>
                <w:rFonts w:cs="Calibri"/>
                <w:color w:val="000000"/>
                <w:sz w:val="22"/>
                <w:szCs w:val="22"/>
              </w:rPr>
              <w:t>93.7</w:t>
            </w:r>
          </w:p>
        </w:tc>
        <w:tc>
          <w:tcPr>
            <w:tcW w:w="960" w:type="dxa"/>
          </w:tcPr>
          <w:p w:rsidR="004C5557" w:rsidRDefault="004C5557" w:rsidP="00BF4BC3">
            <w:pPr>
              <w:jc w:val="center"/>
              <w:rPr>
                <w:rFonts w:cs="Calibri"/>
                <w:color w:val="000000"/>
                <w:sz w:val="22"/>
                <w:szCs w:val="22"/>
              </w:rPr>
            </w:pPr>
            <w:r>
              <w:rPr>
                <w:rFonts w:cs="Calibri"/>
                <w:color w:val="000000"/>
                <w:sz w:val="22"/>
                <w:szCs w:val="22"/>
              </w:rPr>
              <w:t>94.8</w:t>
            </w:r>
          </w:p>
        </w:tc>
        <w:tc>
          <w:tcPr>
            <w:tcW w:w="993" w:type="dxa"/>
          </w:tcPr>
          <w:p w:rsidR="004C5557" w:rsidRDefault="004C5557" w:rsidP="00BF4BC3">
            <w:pPr>
              <w:tabs>
                <w:tab w:val="left" w:pos="1089"/>
              </w:tabs>
              <w:jc w:val="center"/>
              <w:rPr>
                <w:rFonts w:ascii="Arial" w:hAnsi="Arial" w:cs="Arial"/>
                <w:sz w:val="18"/>
                <w:szCs w:val="18"/>
                <w:lang w:val="en-US"/>
              </w:rPr>
            </w:pPr>
            <w:r>
              <w:rPr>
                <w:rFonts w:ascii="Arial" w:hAnsi="Arial" w:cs="Arial"/>
                <w:sz w:val="18"/>
                <w:szCs w:val="18"/>
                <w:lang w:val="en-US"/>
              </w:rPr>
              <w:t>80%</w:t>
            </w:r>
          </w:p>
        </w:tc>
        <w:tc>
          <w:tcPr>
            <w:tcW w:w="992" w:type="dxa"/>
          </w:tcPr>
          <w:p w:rsidR="004C5557" w:rsidRDefault="004C5557" w:rsidP="00BF4BC3">
            <w:pPr>
              <w:rPr>
                <w:rFonts w:ascii="Arial" w:hAnsi="Arial" w:cs="Arial"/>
                <w:sz w:val="18"/>
                <w:szCs w:val="18"/>
                <w:lang w:val="en-US"/>
              </w:rPr>
            </w:pPr>
          </w:p>
          <w:p w:rsidR="004C5557" w:rsidRDefault="004C5557" w:rsidP="00BF4BC3">
            <w:pPr>
              <w:tabs>
                <w:tab w:val="left" w:pos="1089"/>
              </w:tabs>
              <w:jc w:val="center"/>
              <w:rPr>
                <w:rFonts w:ascii="Arial" w:hAnsi="Arial" w:cs="Arial"/>
                <w:sz w:val="18"/>
                <w:szCs w:val="18"/>
                <w:lang w:val="en-US"/>
              </w:rPr>
            </w:pPr>
          </w:p>
        </w:tc>
      </w:tr>
      <w:tr w:rsidR="004C5557" w:rsidRPr="004154F5" w:rsidTr="00BF4BC3">
        <w:trPr>
          <w:trHeight w:val="495"/>
        </w:trPr>
        <w:tc>
          <w:tcPr>
            <w:tcW w:w="510" w:type="dxa"/>
          </w:tcPr>
          <w:p w:rsidR="004C5557" w:rsidRPr="00093699" w:rsidRDefault="004C5557" w:rsidP="00BF4BC3">
            <w:pPr>
              <w:tabs>
                <w:tab w:val="left" w:pos="1089"/>
              </w:tabs>
              <w:jc w:val="center"/>
              <w:rPr>
                <w:rFonts w:ascii="Arial" w:hAnsi="Arial" w:cs="Arial"/>
                <w:sz w:val="18"/>
                <w:szCs w:val="18"/>
                <w:lang w:val="en-US"/>
              </w:rPr>
            </w:pPr>
            <w:r>
              <w:rPr>
                <w:rFonts w:ascii="Arial" w:hAnsi="Arial" w:cs="Arial"/>
                <w:sz w:val="18"/>
                <w:szCs w:val="18"/>
                <w:lang w:val="en-US"/>
              </w:rPr>
              <w:t>3</w:t>
            </w:r>
          </w:p>
        </w:tc>
        <w:tc>
          <w:tcPr>
            <w:tcW w:w="2642" w:type="dxa"/>
          </w:tcPr>
          <w:p w:rsidR="004C5557" w:rsidRPr="004E7E67" w:rsidRDefault="004C5557" w:rsidP="00BF4BC3">
            <w:pPr>
              <w:spacing w:line="360" w:lineRule="auto"/>
              <w:jc w:val="both"/>
              <w:rPr>
                <w:rFonts w:ascii="Arial" w:hAnsi="Arial" w:cs="Arial"/>
              </w:rPr>
            </w:pPr>
            <w:r w:rsidRPr="00093699">
              <w:rPr>
                <w:rFonts w:ascii="Arial" w:hAnsi="Arial" w:cs="Arial"/>
              </w:rPr>
              <w:t>Kepuasan Pasien dan Keluarga</w:t>
            </w:r>
          </w:p>
        </w:tc>
        <w:tc>
          <w:tcPr>
            <w:tcW w:w="857" w:type="dxa"/>
          </w:tcPr>
          <w:p w:rsidR="004C5557" w:rsidRDefault="004C5557" w:rsidP="00BF4BC3">
            <w:pPr>
              <w:widowControl w:val="0"/>
              <w:jc w:val="center"/>
              <w:rPr>
                <w:rFonts w:ascii="Arial" w:hAnsi="Arial" w:cs="Arial"/>
                <w:color w:val="000000"/>
              </w:rPr>
            </w:pPr>
          </w:p>
        </w:tc>
        <w:tc>
          <w:tcPr>
            <w:tcW w:w="740" w:type="dxa"/>
          </w:tcPr>
          <w:p w:rsidR="004C5557" w:rsidRDefault="004C5557" w:rsidP="00BF4BC3">
            <w:pPr>
              <w:widowControl w:val="0"/>
              <w:jc w:val="center"/>
              <w:rPr>
                <w:rFonts w:ascii="Arial" w:hAnsi="Arial" w:cs="Arial"/>
                <w:color w:val="000000"/>
              </w:rPr>
            </w:pPr>
          </w:p>
        </w:tc>
        <w:tc>
          <w:tcPr>
            <w:tcW w:w="1203" w:type="dxa"/>
          </w:tcPr>
          <w:p w:rsidR="004C5557" w:rsidRDefault="004C5557" w:rsidP="00BF4BC3">
            <w:pPr>
              <w:widowControl w:val="0"/>
              <w:jc w:val="center"/>
              <w:rPr>
                <w:rFonts w:ascii="Arial" w:hAnsi="Arial" w:cs="Arial"/>
                <w:color w:val="000000"/>
              </w:rPr>
            </w:pPr>
          </w:p>
        </w:tc>
        <w:tc>
          <w:tcPr>
            <w:tcW w:w="960" w:type="dxa"/>
          </w:tcPr>
          <w:p w:rsidR="004C5557" w:rsidRDefault="004C5557" w:rsidP="00BF4BC3">
            <w:pPr>
              <w:widowControl w:val="0"/>
              <w:jc w:val="center"/>
              <w:rPr>
                <w:rFonts w:ascii="Arial" w:hAnsi="Arial" w:cs="Arial"/>
                <w:color w:val="000000"/>
              </w:rPr>
            </w:pPr>
            <w:r>
              <w:rPr>
                <w:rFonts w:ascii="Arial" w:hAnsi="Arial" w:cs="Arial"/>
                <w:color w:val="000000"/>
              </w:rPr>
              <w:t>77,9%</w:t>
            </w:r>
          </w:p>
        </w:tc>
        <w:tc>
          <w:tcPr>
            <w:tcW w:w="993" w:type="dxa"/>
          </w:tcPr>
          <w:p w:rsidR="004C5557" w:rsidRDefault="004C5557" w:rsidP="00BF4BC3">
            <w:pPr>
              <w:tabs>
                <w:tab w:val="left" w:pos="1089"/>
              </w:tabs>
              <w:jc w:val="center"/>
              <w:rPr>
                <w:rFonts w:ascii="Arial" w:hAnsi="Arial" w:cs="Arial"/>
                <w:sz w:val="18"/>
                <w:szCs w:val="18"/>
                <w:lang w:val="en-US"/>
              </w:rPr>
            </w:pPr>
            <w:r>
              <w:rPr>
                <w:rFonts w:ascii="Arial" w:hAnsi="Arial" w:cs="Arial"/>
                <w:sz w:val="18"/>
                <w:szCs w:val="18"/>
                <w:lang w:val="en-US"/>
              </w:rPr>
              <w:t>80%</w:t>
            </w:r>
          </w:p>
        </w:tc>
        <w:tc>
          <w:tcPr>
            <w:tcW w:w="992" w:type="dxa"/>
          </w:tcPr>
          <w:p w:rsidR="004C5557" w:rsidRDefault="004C5557" w:rsidP="00BF4BC3">
            <w:pPr>
              <w:rPr>
                <w:rFonts w:ascii="Arial" w:hAnsi="Arial" w:cs="Arial"/>
                <w:sz w:val="18"/>
                <w:szCs w:val="18"/>
                <w:lang w:val="en-US"/>
              </w:rPr>
            </w:pPr>
          </w:p>
          <w:p w:rsidR="004C5557" w:rsidRDefault="004C5557" w:rsidP="00BF4BC3">
            <w:pPr>
              <w:rPr>
                <w:rFonts w:ascii="Arial" w:hAnsi="Arial" w:cs="Arial"/>
                <w:sz w:val="18"/>
                <w:szCs w:val="18"/>
                <w:lang w:val="en-US"/>
              </w:rPr>
            </w:pPr>
          </w:p>
          <w:p w:rsidR="004C5557" w:rsidRDefault="004C5557" w:rsidP="00BF4BC3">
            <w:pPr>
              <w:tabs>
                <w:tab w:val="left" w:pos="1089"/>
              </w:tabs>
              <w:jc w:val="center"/>
              <w:rPr>
                <w:rFonts w:ascii="Arial" w:hAnsi="Arial" w:cs="Arial"/>
                <w:sz w:val="18"/>
                <w:szCs w:val="18"/>
                <w:lang w:val="en-US"/>
              </w:rPr>
            </w:pPr>
          </w:p>
        </w:tc>
      </w:tr>
      <w:tr w:rsidR="004C5557" w:rsidRPr="004154F5" w:rsidTr="00BF4BC3">
        <w:trPr>
          <w:trHeight w:val="375"/>
        </w:trPr>
        <w:tc>
          <w:tcPr>
            <w:tcW w:w="510" w:type="dxa"/>
          </w:tcPr>
          <w:p w:rsidR="004C5557" w:rsidRPr="00093699" w:rsidRDefault="004C5557" w:rsidP="00BF4BC3">
            <w:pPr>
              <w:tabs>
                <w:tab w:val="left" w:pos="1089"/>
              </w:tabs>
              <w:jc w:val="center"/>
              <w:rPr>
                <w:rFonts w:ascii="Arial" w:hAnsi="Arial" w:cs="Arial"/>
                <w:sz w:val="18"/>
                <w:szCs w:val="18"/>
                <w:lang w:val="en-US"/>
              </w:rPr>
            </w:pPr>
            <w:r>
              <w:rPr>
                <w:rFonts w:ascii="Arial" w:hAnsi="Arial" w:cs="Arial"/>
                <w:sz w:val="18"/>
                <w:szCs w:val="18"/>
                <w:lang w:val="en-US"/>
              </w:rPr>
              <w:t>4</w:t>
            </w:r>
          </w:p>
        </w:tc>
        <w:tc>
          <w:tcPr>
            <w:tcW w:w="2642" w:type="dxa"/>
          </w:tcPr>
          <w:p w:rsidR="004C5557" w:rsidRPr="004E7E67" w:rsidRDefault="004C5557" w:rsidP="00BF4BC3">
            <w:pPr>
              <w:spacing w:line="360" w:lineRule="auto"/>
              <w:jc w:val="both"/>
              <w:rPr>
                <w:rFonts w:ascii="Arial" w:hAnsi="Arial" w:cs="Arial"/>
              </w:rPr>
            </w:pPr>
            <w:r w:rsidRPr="00093699">
              <w:rPr>
                <w:rFonts w:ascii="Arial" w:hAnsi="Arial" w:cs="Arial"/>
              </w:rPr>
              <w:t>Kecepatan Respon Terhadap Komplain</w:t>
            </w:r>
          </w:p>
        </w:tc>
        <w:tc>
          <w:tcPr>
            <w:tcW w:w="857" w:type="dxa"/>
          </w:tcPr>
          <w:p w:rsidR="004C5557" w:rsidRDefault="004C5557" w:rsidP="00BF4BC3">
            <w:pPr>
              <w:widowControl w:val="0"/>
              <w:jc w:val="center"/>
              <w:rPr>
                <w:rFonts w:ascii="Arial" w:hAnsi="Arial" w:cs="Arial"/>
                <w:color w:val="000000"/>
              </w:rPr>
            </w:pPr>
          </w:p>
        </w:tc>
        <w:tc>
          <w:tcPr>
            <w:tcW w:w="740" w:type="dxa"/>
          </w:tcPr>
          <w:p w:rsidR="004C5557" w:rsidRDefault="004C5557" w:rsidP="00BF4BC3">
            <w:pPr>
              <w:widowControl w:val="0"/>
              <w:jc w:val="center"/>
              <w:rPr>
                <w:rFonts w:ascii="Arial" w:hAnsi="Arial" w:cs="Arial"/>
                <w:color w:val="000000"/>
              </w:rPr>
            </w:pPr>
          </w:p>
        </w:tc>
        <w:tc>
          <w:tcPr>
            <w:tcW w:w="1203" w:type="dxa"/>
          </w:tcPr>
          <w:p w:rsidR="004C5557" w:rsidRDefault="004C5557" w:rsidP="00BF4BC3">
            <w:pPr>
              <w:widowControl w:val="0"/>
              <w:jc w:val="center"/>
              <w:rPr>
                <w:rFonts w:ascii="Arial" w:hAnsi="Arial" w:cs="Arial"/>
                <w:color w:val="000000"/>
              </w:rPr>
            </w:pPr>
          </w:p>
        </w:tc>
        <w:tc>
          <w:tcPr>
            <w:tcW w:w="960" w:type="dxa"/>
          </w:tcPr>
          <w:p w:rsidR="004C5557" w:rsidRDefault="004C5557" w:rsidP="00BF4BC3">
            <w:pPr>
              <w:widowControl w:val="0"/>
              <w:jc w:val="center"/>
              <w:rPr>
                <w:rFonts w:ascii="Arial" w:hAnsi="Arial" w:cs="Arial"/>
                <w:color w:val="000000"/>
              </w:rPr>
            </w:pPr>
            <w:r>
              <w:rPr>
                <w:rFonts w:ascii="Arial" w:hAnsi="Arial" w:cs="Arial"/>
                <w:color w:val="000000"/>
              </w:rPr>
              <w:t>100%</w:t>
            </w:r>
          </w:p>
        </w:tc>
        <w:tc>
          <w:tcPr>
            <w:tcW w:w="993" w:type="dxa"/>
          </w:tcPr>
          <w:p w:rsidR="004C5557" w:rsidRDefault="004C5557" w:rsidP="00BF4BC3">
            <w:pPr>
              <w:tabs>
                <w:tab w:val="left" w:pos="1089"/>
              </w:tabs>
              <w:jc w:val="center"/>
              <w:rPr>
                <w:rFonts w:ascii="Arial" w:hAnsi="Arial" w:cs="Arial"/>
                <w:sz w:val="18"/>
                <w:szCs w:val="18"/>
                <w:lang w:val="en-US"/>
              </w:rPr>
            </w:pPr>
            <w:r>
              <w:rPr>
                <w:rFonts w:ascii="Arial" w:hAnsi="Arial" w:cs="Arial"/>
                <w:sz w:val="18"/>
                <w:szCs w:val="18"/>
                <w:lang w:val="en-US"/>
              </w:rPr>
              <w:t>75%</w:t>
            </w:r>
          </w:p>
        </w:tc>
        <w:tc>
          <w:tcPr>
            <w:tcW w:w="992" w:type="dxa"/>
          </w:tcPr>
          <w:p w:rsidR="004C5557" w:rsidRDefault="004C5557" w:rsidP="00BF4BC3">
            <w:pPr>
              <w:tabs>
                <w:tab w:val="left" w:pos="1089"/>
              </w:tabs>
              <w:jc w:val="center"/>
              <w:rPr>
                <w:rFonts w:ascii="Arial" w:hAnsi="Arial" w:cs="Arial"/>
                <w:sz w:val="18"/>
                <w:szCs w:val="18"/>
                <w:lang w:val="en-US"/>
              </w:rPr>
            </w:pPr>
          </w:p>
        </w:tc>
      </w:tr>
    </w:tbl>
    <w:p w:rsidR="004C5557" w:rsidRPr="004C5557" w:rsidRDefault="004C5557" w:rsidP="004C5557">
      <w:pPr>
        <w:spacing w:after="0" w:line="360" w:lineRule="auto"/>
        <w:rPr>
          <w:rFonts w:ascii="Arial" w:hAnsi="Arial" w:cs="Arial"/>
          <w:b/>
          <w:sz w:val="24"/>
          <w:szCs w:val="24"/>
        </w:rPr>
      </w:pPr>
    </w:p>
    <w:tbl>
      <w:tblPr>
        <w:tblStyle w:val="TableGrid"/>
        <w:tblW w:w="8755" w:type="dxa"/>
        <w:tblLayout w:type="fixed"/>
        <w:tblLook w:val="04A0"/>
      </w:tblPr>
      <w:tblGrid>
        <w:gridCol w:w="510"/>
        <w:gridCol w:w="2642"/>
        <w:gridCol w:w="857"/>
        <w:gridCol w:w="740"/>
        <w:gridCol w:w="1203"/>
        <w:gridCol w:w="819"/>
        <w:gridCol w:w="992"/>
        <w:gridCol w:w="992"/>
      </w:tblGrid>
      <w:tr w:rsidR="004C5557" w:rsidRPr="009A148D" w:rsidTr="00BF4BC3">
        <w:tc>
          <w:tcPr>
            <w:tcW w:w="510" w:type="dxa"/>
            <w:vMerge w:val="restart"/>
          </w:tcPr>
          <w:p w:rsidR="004C5557" w:rsidRPr="00EE73F2" w:rsidRDefault="004C5557" w:rsidP="00BF4BC3">
            <w:pPr>
              <w:tabs>
                <w:tab w:val="left" w:pos="1089"/>
              </w:tabs>
              <w:jc w:val="center"/>
              <w:rPr>
                <w:rFonts w:ascii="Arial" w:hAnsi="Arial" w:cs="Arial"/>
                <w:sz w:val="18"/>
                <w:szCs w:val="18"/>
              </w:rPr>
            </w:pPr>
            <w:r w:rsidRPr="00EE73F2">
              <w:rPr>
                <w:rFonts w:ascii="Arial" w:hAnsi="Arial" w:cs="Arial"/>
                <w:sz w:val="18"/>
                <w:szCs w:val="18"/>
              </w:rPr>
              <w:t>No</w:t>
            </w:r>
          </w:p>
        </w:tc>
        <w:tc>
          <w:tcPr>
            <w:tcW w:w="2642" w:type="dxa"/>
            <w:vMerge w:val="restart"/>
          </w:tcPr>
          <w:p w:rsidR="004C5557" w:rsidRPr="00EE73F2" w:rsidRDefault="004C5557" w:rsidP="00BF4BC3">
            <w:pPr>
              <w:tabs>
                <w:tab w:val="left" w:pos="1089"/>
              </w:tabs>
              <w:jc w:val="center"/>
              <w:rPr>
                <w:rFonts w:ascii="Arial" w:hAnsi="Arial" w:cs="Arial"/>
                <w:sz w:val="18"/>
                <w:szCs w:val="18"/>
              </w:rPr>
            </w:pPr>
            <w:r w:rsidRPr="00EE73F2">
              <w:rPr>
                <w:rFonts w:ascii="Arial" w:hAnsi="Arial" w:cs="Arial"/>
                <w:sz w:val="18"/>
                <w:szCs w:val="18"/>
              </w:rPr>
              <w:t>INDIKATOR</w:t>
            </w:r>
          </w:p>
        </w:tc>
        <w:tc>
          <w:tcPr>
            <w:tcW w:w="2800" w:type="dxa"/>
            <w:gridSpan w:val="3"/>
          </w:tcPr>
          <w:p w:rsidR="004C5557" w:rsidRPr="00EE73F2" w:rsidRDefault="004C5557" w:rsidP="00BF4BC3">
            <w:pPr>
              <w:tabs>
                <w:tab w:val="left" w:pos="1089"/>
              </w:tabs>
              <w:jc w:val="center"/>
              <w:rPr>
                <w:rFonts w:ascii="Arial" w:hAnsi="Arial" w:cs="Arial"/>
                <w:sz w:val="18"/>
                <w:szCs w:val="18"/>
              </w:rPr>
            </w:pPr>
            <w:r w:rsidRPr="00EE73F2">
              <w:rPr>
                <w:rFonts w:ascii="Arial" w:hAnsi="Arial" w:cs="Arial"/>
                <w:sz w:val="18"/>
                <w:szCs w:val="18"/>
              </w:rPr>
              <w:t>PENCAPAIAN BULAN</w:t>
            </w:r>
          </w:p>
        </w:tc>
        <w:tc>
          <w:tcPr>
            <w:tcW w:w="819" w:type="dxa"/>
            <w:vMerge w:val="restart"/>
          </w:tcPr>
          <w:p w:rsidR="004C5557" w:rsidRPr="00EE73F2" w:rsidRDefault="004C5557" w:rsidP="00BF4BC3">
            <w:pPr>
              <w:tabs>
                <w:tab w:val="left" w:pos="1089"/>
              </w:tabs>
              <w:jc w:val="center"/>
              <w:rPr>
                <w:rFonts w:ascii="Arial" w:hAnsi="Arial" w:cs="Arial"/>
                <w:sz w:val="18"/>
                <w:szCs w:val="18"/>
              </w:rPr>
            </w:pPr>
            <w:r w:rsidRPr="00EE73F2">
              <w:rPr>
                <w:rFonts w:ascii="Arial" w:hAnsi="Arial" w:cs="Arial"/>
                <w:sz w:val="18"/>
                <w:szCs w:val="18"/>
              </w:rPr>
              <w:t>RATA-</w:t>
            </w:r>
          </w:p>
          <w:p w:rsidR="004C5557" w:rsidRPr="00EE73F2" w:rsidRDefault="004C5557" w:rsidP="00BF4BC3">
            <w:pPr>
              <w:tabs>
                <w:tab w:val="left" w:pos="1089"/>
              </w:tabs>
              <w:jc w:val="center"/>
              <w:rPr>
                <w:rFonts w:ascii="Arial" w:hAnsi="Arial" w:cs="Arial"/>
                <w:sz w:val="18"/>
                <w:szCs w:val="18"/>
              </w:rPr>
            </w:pPr>
            <w:r w:rsidRPr="00EE73F2">
              <w:rPr>
                <w:rFonts w:ascii="Arial" w:hAnsi="Arial" w:cs="Arial"/>
                <w:sz w:val="18"/>
                <w:szCs w:val="18"/>
              </w:rPr>
              <w:t>RATA</w:t>
            </w:r>
          </w:p>
        </w:tc>
        <w:tc>
          <w:tcPr>
            <w:tcW w:w="992" w:type="dxa"/>
            <w:vMerge w:val="restart"/>
          </w:tcPr>
          <w:p w:rsidR="004C5557" w:rsidRPr="006D0231" w:rsidRDefault="004C5557" w:rsidP="00BF4BC3">
            <w:pPr>
              <w:tabs>
                <w:tab w:val="left" w:pos="1089"/>
              </w:tabs>
              <w:jc w:val="center"/>
              <w:rPr>
                <w:rFonts w:ascii="Arial" w:hAnsi="Arial" w:cs="Arial"/>
                <w:sz w:val="18"/>
                <w:szCs w:val="18"/>
                <w:lang w:val="en-US"/>
              </w:rPr>
            </w:pPr>
            <w:proofErr w:type="spellStart"/>
            <w:r>
              <w:rPr>
                <w:rFonts w:ascii="Arial" w:hAnsi="Arial" w:cs="Arial"/>
                <w:sz w:val="18"/>
                <w:szCs w:val="18"/>
                <w:lang w:val="en-US"/>
              </w:rPr>
              <w:t>Standart</w:t>
            </w:r>
            <w:proofErr w:type="spellEnd"/>
          </w:p>
        </w:tc>
        <w:tc>
          <w:tcPr>
            <w:tcW w:w="992" w:type="dxa"/>
            <w:vMerge w:val="restart"/>
          </w:tcPr>
          <w:p w:rsidR="004C5557" w:rsidRPr="009A148D" w:rsidRDefault="004C5557" w:rsidP="00BF4BC3">
            <w:pPr>
              <w:tabs>
                <w:tab w:val="left" w:pos="1089"/>
              </w:tabs>
              <w:jc w:val="center"/>
              <w:rPr>
                <w:rFonts w:ascii="Arial" w:hAnsi="Arial" w:cs="Arial"/>
                <w:sz w:val="18"/>
                <w:szCs w:val="18"/>
                <w:lang w:val="en-US"/>
              </w:rPr>
            </w:pPr>
            <w:r>
              <w:rPr>
                <w:rFonts w:ascii="Arial" w:hAnsi="Arial" w:cs="Arial"/>
                <w:sz w:val="18"/>
                <w:szCs w:val="18"/>
                <w:lang w:val="en-US"/>
              </w:rPr>
              <w:t>RTL</w:t>
            </w:r>
          </w:p>
        </w:tc>
      </w:tr>
      <w:tr w:rsidR="004C5557" w:rsidRPr="00EE73F2" w:rsidTr="00BF4BC3">
        <w:tc>
          <w:tcPr>
            <w:tcW w:w="510" w:type="dxa"/>
            <w:vMerge/>
          </w:tcPr>
          <w:p w:rsidR="004C5557" w:rsidRPr="00EE73F2" w:rsidRDefault="004C5557" w:rsidP="00BF4BC3">
            <w:pPr>
              <w:tabs>
                <w:tab w:val="left" w:pos="1089"/>
              </w:tabs>
              <w:jc w:val="center"/>
              <w:rPr>
                <w:rFonts w:ascii="Arial" w:hAnsi="Arial" w:cs="Arial"/>
                <w:sz w:val="18"/>
                <w:szCs w:val="18"/>
              </w:rPr>
            </w:pPr>
          </w:p>
        </w:tc>
        <w:tc>
          <w:tcPr>
            <w:tcW w:w="2642" w:type="dxa"/>
            <w:vMerge/>
          </w:tcPr>
          <w:p w:rsidR="004C5557" w:rsidRPr="00EE73F2" w:rsidRDefault="004C5557" w:rsidP="00BF4BC3">
            <w:pPr>
              <w:tabs>
                <w:tab w:val="left" w:pos="1089"/>
              </w:tabs>
              <w:jc w:val="center"/>
              <w:rPr>
                <w:rFonts w:ascii="Arial" w:hAnsi="Arial" w:cs="Arial"/>
                <w:sz w:val="18"/>
                <w:szCs w:val="18"/>
              </w:rPr>
            </w:pPr>
          </w:p>
        </w:tc>
        <w:tc>
          <w:tcPr>
            <w:tcW w:w="857" w:type="dxa"/>
          </w:tcPr>
          <w:p w:rsidR="004C5557" w:rsidRPr="009D4616" w:rsidRDefault="004C5557" w:rsidP="00BF4BC3">
            <w:pPr>
              <w:tabs>
                <w:tab w:val="left" w:pos="1089"/>
              </w:tabs>
              <w:jc w:val="both"/>
              <w:rPr>
                <w:rFonts w:ascii="Arial" w:hAnsi="Arial" w:cs="Arial"/>
                <w:sz w:val="18"/>
                <w:szCs w:val="18"/>
              </w:rPr>
            </w:pPr>
            <w:r>
              <w:rPr>
                <w:rFonts w:ascii="Arial" w:hAnsi="Arial" w:cs="Arial"/>
                <w:sz w:val="18"/>
                <w:szCs w:val="18"/>
              </w:rPr>
              <w:t>Oktober</w:t>
            </w:r>
          </w:p>
        </w:tc>
        <w:tc>
          <w:tcPr>
            <w:tcW w:w="740" w:type="dxa"/>
          </w:tcPr>
          <w:p w:rsidR="004C5557" w:rsidRPr="00EE73F2" w:rsidRDefault="004C5557" w:rsidP="00BF4BC3">
            <w:pPr>
              <w:tabs>
                <w:tab w:val="left" w:pos="1089"/>
              </w:tabs>
              <w:jc w:val="center"/>
              <w:rPr>
                <w:rFonts w:ascii="Arial" w:hAnsi="Arial" w:cs="Arial"/>
                <w:sz w:val="18"/>
                <w:szCs w:val="18"/>
              </w:rPr>
            </w:pPr>
            <w:r>
              <w:rPr>
                <w:rFonts w:ascii="Arial" w:hAnsi="Arial" w:cs="Arial"/>
                <w:sz w:val="18"/>
                <w:szCs w:val="18"/>
              </w:rPr>
              <w:t>Nop</w:t>
            </w:r>
          </w:p>
        </w:tc>
        <w:tc>
          <w:tcPr>
            <w:tcW w:w="1203" w:type="dxa"/>
          </w:tcPr>
          <w:p w:rsidR="004C5557" w:rsidRPr="00EE73F2" w:rsidRDefault="004C5557" w:rsidP="00BF4BC3">
            <w:pPr>
              <w:tabs>
                <w:tab w:val="left" w:pos="1089"/>
              </w:tabs>
              <w:jc w:val="center"/>
              <w:rPr>
                <w:rFonts w:ascii="Arial" w:hAnsi="Arial" w:cs="Arial"/>
                <w:sz w:val="18"/>
                <w:szCs w:val="18"/>
              </w:rPr>
            </w:pPr>
            <w:r>
              <w:rPr>
                <w:rFonts w:ascii="Arial" w:hAnsi="Arial" w:cs="Arial"/>
                <w:sz w:val="18"/>
                <w:szCs w:val="18"/>
              </w:rPr>
              <w:t>Desember</w:t>
            </w:r>
          </w:p>
        </w:tc>
        <w:tc>
          <w:tcPr>
            <w:tcW w:w="819" w:type="dxa"/>
            <w:vMerge/>
          </w:tcPr>
          <w:p w:rsidR="004C5557" w:rsidRPr="00EE73F2" w:rsidRDefault="004C5557" w:rsidP="00BF4BC3">
            <w:pPr>
              <w:tabs>
                <w:tab w:val="left" w:pos="1089"/>
              </w:tabs>
              <w:jc w:val="center"/>
              <w:rPr>
                <w:rFonts w:ascii="Arial" w:hAnsi="Arial" w:cs="Arial"/>
                <w:sz w:val="18"/>
                <w:szCs w:val="18"/>
              </w:rPr>
            </w:pPr>
          </w:p>
        </w:tc>
        <w:tc>
          <w:tcPr>
            <w:tcW w:w="992" w:type="dxa"/>
            <w:vMerge/>
          </w:tcPr>
          <w:p w:rsidR="004C5557" w:rsidRPr="00EE73F2" w:rsidRDefault="004C5557" w:rsidP="00BF4BC3">
            <w:pPr>
              <w:tabs>
                <w:tab w:val="left" w:pos="1089"/>
              </w:tabs>
              <w:jc w:val="center"/>
              <w:rPr>
                <w:rFonts w:ascii="Arial" w:hAnsi="Arial" w:cs="Arial"/>
                <w:sz w:val="18"/>
                <w:szCs w:val="18"/>
              </w:rPr>
            </w:pPr>
          </w:p>
        </w:tc>
        <w:tc>
          <w:tcPr>
            <w:tcW w:w="992" w:type="dxa"/>
            <w:vMerge/>
          </w:tcPr>
          <w:p w:rsidR="004C5557" w:rsidRPr="00EE73F2" w:rsidRDefault="004C5557" w:rsidP="00BF4BC3">
            <w:pPr>
              <w:tabs>
                <w:tab w:val="left" w:pos="1089"/>
              </w:tabs>
              <w:jc w:val="center"/>
              <w:rPr>
                <w:rFonts w:ascii="Arial" w:hAnsi="Arial" w:cs="Arial"/>
                <w:sz w:val="18"/>
                <w:szCs w:val="18"/>
              </w:rPr>
            </w:pPr>
          </w:p>
        </w:tc>
      </w:tr>
      <w:tr w:rsidR="004C5557" w:rsidRPr="004154F5" w:rsidTr="00BF4BC3">
        <w:trPr>
          <w:trHeight w:val="420"/>
        </w:trPr>
        <w:tc>
          <w:tcPr>
            <w:tcW w:w="510" w:type="dxa"/>
          </w:tcPr>
          <w:p w:rsidR="004C5557" w:rsidRPr="00EE73F2" w:rsidRDefault="004C5557" w:rsidP="00BF4BC3">
            <w:pPr>
              <w:tabs>
                <w:tab w:val="left" w:pos="1089"/>
              </w:tabs>
              <w:jc w:val="center"/>
              <w:rPr>
                <w:rFonts w:ascii="Arial" w:hAnsi="Arial" w:cs="Arial"/>
                <w:sz w:val="18"/>
                <w:szCs w:val="18"/>
              </w:rPr>
            </w:pPr>
            <w:r w:rsidRPr="00EE73F2">
              <w:rPr>
                <w:rFonts w:ascii="Arial" w:hAnsi="Arial" w:cs="Arial"/>
                <w:sz w:val="18"/>
                <w:szCs w:val="18"/>
              </w:rPr>
              <w:t>1</w:t>
            </w:r>
          </w:p>
        </w:tc>
        <w:tc>
          <w:tcPr>
            <w:tcW w:w="2642" w:type="dxa"/>
          </w:tcPr>
          <w:p w:rsidR="004C5557" w:rsidRPr="00093699" w:rsidRDefault="004C5557" w:rsidP="00BF4BC3">
            <w:pPr>
              <w:spacing w:line="360" w:lineRule="auto"/>
              <w:jc w:val="both"/>
              <w:rPr>
                <w:rFonts w:ascii="Arial" w:hAnsi="Arial" w:cs="Arial"/>
              </w:rPr>
            </w:pPr>
            <w:r w:rsidRPr="00093699">
              <w:rPr>
                <w:rFonts w:ascii="Arial" w:hAnsi="Arial" w:cs="Arial"/>
              </w:rPr>
              <w:t>Kepatuhan Cuci Tangan</w:t>
            </w:r>
          </w:p>
          <w:p w:rsidR="004C5557" w:rsidRPr="00EE73F2" w:rsidRDefault="004C5557" w:rsidP="00BF4BC3">
            <w:pPr>
              <w:spacing w:line="360" w:lineRule="auto"/>
              <w:ind w:left="102"/>
              <w:rPr>
                <w:rFonts w:ascii="Arial" w:hAnsi="Arial" w:cs="Arial"/>
                <w:sz w:val="18"/>
                <w:szCs w:val="18"/>
              </w:rPr>
            </w:pPr>
          </w:p>
        </w:tc>
        <w:tc>
          <w:tcPr>
            <w:tcW w:w="857" w:type="dxa"/>
          </w:tcPr>
          <w:p w:rsidR="004C5557" w:rsidRDefault="004C5557" w:rsidP="00BF4BC3">
            <w:pPr>
              <w:jc w:val="center"/>
              <w:rPr>
                <w:color w:val="000000"/>
                <w:sz w:val="22"/>
                <w:szCs w:val="22"/>
              </w:rPr>
            </w:pPr>
            <w:r>
              <w:rPr>
                <w:color w:val="000000"/>
                <w:sz w:val="22"/>
                <w:szCs w:val="22"/>
              </w:rPr>
              <w:t>68,0</w:t>
            </w:r>
          </w:p>
        </w:tc>
        <w:tc>
          <w:tcPr>
            <w:tcW w:w="740" w:type="dxa"/>
          </w:tcPr>
          <w:p w:rsidR="004C5557" w:rsidRDefault="004C5557" w:rsidP="00BF4BC3">
            <w:pPr>
              <w:jc w:val="center"/>
              <w:rPr>
                <w:color w:val="000000"/>
                <w:sz w:val="22"/>
                <w:szCs w:val="22"/>
              </w:rPr>
            </w:pPr>
            <w:r>
              <w:rPr>
                <w:color w:val="000000"/>
                <w:sz w:val="22"/>
                <w:szCs w:val="22"/>
              </w:rPr>
              <w:t>69,1</w:t>
            </w:r>
          </w:p>
        </w:tc>
        <w:tc>
          <w:tcPr>
            <w:tcW w:w="1203" w:type="dxa"/>
          </w:tcPr>
          <w:p w:rsidR="004C5557" w:rsidRDefault="004C5557" w:rsidP="00BF4BC3">
            <w:pPr>
              <w:jc w:val="center"/>
              <w:rPr>
                <w:color w:val="000000"/>
                <w:sz w:val="22"/>
                <w:szCs w:val="22"/>
              </w:rPr>
            </w:pPr>
            <w:r>
              <w:rPr>
                <w:color w:val="000000"/>
                <w:sz w:val="22"/>
                <w:szCs w:val="22"/>
              </w:rPr>
              <w:t>72,1</w:t>
            </w:r>
          </w:p>
        </w:tc>
        <w:tc>
          <w:tcPr>
            <w:tcW w:w="819" w:type="dxa"/>
          </w:tcPr>
          <w:p w:rsidR="004C5557" w:rsidRDefault="004C5557" w:rsidP="00BF4BC3">
            <w:pPr>
              <w:jc w:val="center"/>
              <w:rPr>
                <w:color w:val="000000"/>
                <w:sz w:val="22"/>
                <w:szCs w:val="22"/>
              </w:rPr>
            </w:pPr>
            <w:r>
              <w:rPr>
                <w:color w:val="000000"/>
                <w:sz w:val="22"/>
                <w:szCs w:val="22"/>
              </w:rPr>
              <w:t>69,7</w:t>
            </w:r>
          </w:p>
        </w:tc>
        <w:tc>
          <w:tcPr>
            <w:tcW w:w="992" w:type="dxa"/>
          </w:tcPr>
          <w:p w:rsidR="004C5557" w:rsidRPr="007B1ABF" w:rsidRDefault="004C5557" w:rsidP="00BF4BC3">
            <w:pPr>
              <w:tabs>
                <w:tab w:val="left" w:pos="1089"/>
              </w:tabs>
              <w:jc w:val="center"/>
              <w:rPr>
                <w:rFonts w:ascii="Arial" w:hAnsi="Arial" w:cs="Arial"/>
                <w:sz w:val="18"/>
                <w:szCs w:val="18"/>
              </w:rPr>
            </w:pPr>
            <w:r>
              <w:rPr>
                <w:rFonts w:ascii="Arial" w:hAnsi="Arial" w:cs="Arial"/>
                <w:sz w:val="18"/>
                <w:szCs w:val="18"/>
              </w:rPr>
              <w:t>85</w:t>
            </w:r>
            <w:r>
              <w:rPr>
                <w:rFonts w:ascii="Arial" w:hAnsi="Arial" w:cs="Arial"/>
                <w:sz w:val="18"/>
                <w:szCs w:val="18"/>
                <w:lang w:val="en-US"/>
              </w:rPr>
              <w:t>%</w:t>
            </w:r>
          </w:p>
        </w:tc>
        <w:tc>
          <w:tcPr>
            <w:tcW w:w="992" w:type="dxa"/>
          </w:tcPr>
          <w:p w:rsidR="004C5557" w:rsidRDefault="004C5557" w:rsidP="00BF4BC3">
            <w:pPr>
              <w:rPr>
                <w:rFonts w:ascii="Arial" w:hAnsi="Arial" w:cs="Arial"/>
                <w:sz w:val="18"/>
                <w:szCs w:val="18"/>
                <w:lang w:val="en-US"/>
              </w:rPr>
            </w:pPr>
          </w:p>
          <w:p w:rsidR="004C5557" w:rsidRPr="004154F5" w:rsidRDefault="004C5557" w:rsidP="00BF4BC3">
            <w:pPr>
              <w:tabs>
                <w:tab w:val="left" w:pos="1089"/>
              </w:tabs>
              <w:jc w:val="center"/>
              <w:rPr>
                <w:rFonts w:ascii="Arial" w:hAnsi="Arial" w:cs="Arial"/>
                <w:sz w:val="18"/>
                <w:szCs w:val="18"/>
                <w:lang w:val="en-US"/>
              </w:rPr>
            </w:pPr>
          </w:p>
        </w:tc>
      </w:tr>
      <w:tr w:rsidR="004C5557" w:rsidRPr="004154F5" w:rsidTr="00BF4BC3">
        <w:trPr>
          <w:trHeight w:val="435"/>
        </w:trPr>
        <w:tc>
          <w:tcPr>
            <w:tcW w:w="510" w:type="dxa"/>
          </w:tcPr>
          <w:p w:rsidR="004C5557" w:rsidRPr="00093699" w:rsidRDefault="004C5557" w:rsidP="00BF4BC3">
            <w:pPr>
              <w:tabs>
                <w:tab w:val="left" w:pos="1089"/>
              </w:tabs>
              <w:jc w:val="center"/>
              <w:rPr>
                <w:rFonts w:ascii="Arial" w:hAnsi="Arial" w:cs="Arial"/>
                <w:sz w:val="18"/>
                <w:szCs w:val="18"/>
                <w:lang w:val="en-US"/>
              </w:rPr>
            </w:pPr>
            <w:r>
              <w:rPr>
                <w:rFonts w:ascii="Arial" w:hAnsi="Arial" w:cs="Arial"/>
                <w:sz w:val="18"/>
                <w:szCs w:val="18"/>
                <w:lang w:val="en-US"/>
              </w:rPr>
              <w:t>2</w:t>
            </w:r>
          </w:p>
        </w:tc>
        <w:tc>
          <w:tcPr>
            <w:tcW w:w="2642" w:type="dxa"/>
          </w:tcPr>
          <w:p w:rsidR="004C5557" w:rsidRPr="004E7E67" w:rsidRDefault="004C5557" w:rsidP="00BF4BC3">
            <w:pPr>
              <w:spacing w:line="360" w:lineRule="auto"/>
              <w:jc w:val="both"/>
              <w:rPr>
                <w:rFonts w:ascii="Arial" w:hAnsi="Arial" w:cs="Arial"/>
              </w:rPr>
            </w:pPr>
            <w:r w:rsidRPr="00093699">
              <w:rPr>
                <w:rFonts w:ascii="Arial" w:hAnsi="Arial" w:cs="Arial"/>
              </w:rPr>
              <w:t>Kepatuhan Upaya Pencegahan Resiko Cedera Akibat Pasien Jatuh</w:t>
            </w:r>
          </w:p>
        </w:tc>
        <w:tc>
          <w:tcPr>
            <w:tcW w:w="857" w:type="dxa"/>
          </w:tcPr>
          <w:p w:rsidR="004C5557" w:rsidRDefault="004C5557" w:rsidP="00BF4BC3">
            <w:pPr>
              <w:jc w:val="center"/>
              <w:rPr>
                <w:rFonts w:cs="Calibri"/>
                <w:color w:val="000000"/>
                <w:sz w:val="22"/>
                <w:szCs w:val="22"/>
              </w:rPr>
            </w:pPr>
            <w:r>
              <w:rPr>
                <w:rFonts w:cs="Calibri"/>
                <w:color w:val="000000"/>
                <w:sz w:val="22"/>
                <w:szCs w:val="22"/>
              </w:rPr>
              <w:t>39.1</w:t>
            </w:r>
          </w:p>
        </w:tc>
        <w:tc>
          <w:tcPr>
            <w:tcW w:w="740" w:type="dxa"/>
          </w:tcPr>
          <w:p w:rsidR="004C5557" w:rsidRDefault="004C5557" w:rsidP="00BF4BC3">
            <w:pPr>
              <w:jc w:val="center"/>
              <w:rPr>
                <w:rFonts w:cs="Calibri"/>
                <w:color w:val="000000"/>
                <w:sz w:val="22"/>
                <w:szCs w:val="22"/>
              </w:rPr>
            </w:pPr>
            <w:r>
              <w:rPr>
                <w:rFonts w:cs="Calibri"/>
                <w:color w:val="000000"/>
                <w:sz w:val="22"/>
                <w:szCs w:val="22"/>
              </w:rPr>
              <w:t>51.1</w:t>
            </w:r>
          </w:p>
        </w:tc>
        <w:tc>
          <w:tcPr>
            <w:tcW w:w="1203" w:type="dxa"/>
          </w:tcPr>
          <w:p w:rsidR="004C5557" w:rsidRDefault="004C5557" w:rsidP="00BF4BC3">
            <w:pPr>
              <w:jc w:val="center"/>
              <w:rPr>
                <w:rFonts w:cs="Calibri"/>
                <w:color w:val="000000"/>
                <w:sz w:val="22"/>
                <w:szCs w:val="22"/>
              </w:rPr>
            </w:pPr>
            <w:r>
              <w:rPr>
                <w:rFonts w:cs="Calibri"/>
                <w:color w:val="000000"/>
                <w:sz w:val="22"/>
                <w:szCs w:val="22"/>
              </w:rPr>
              <w:t>91.4</w:t>
            </w:r>
          </w:p>
        </w:tc>
        <w:tc>
          <w:tcPr>
            <w:tcW w:w="819" w:type="dxa"/>
          </w:tcPr>
          <w:p w:rsidR="004C5557" w:rsidRDefault="004C5557" w:rsidP="00BF4BC3">
            <w:pPr>
              <w:jc w:val="center"/>
              <w:rPr>
                <w:rFonts w:cs="Calibri"/>
                <w:color w:val="000000"/>
                <w:sz w:val="22"/>
                <w:szCs w:val="22"/>
              </w:rPr>
            </w:pPr>
            <w:r>
              <w:rPr>
                <w:rFonts w:cs="Calibri"/>
                <w:color w:val="000000"/>
                <w:sz w:val="22"/>
                <w:szCs w:val="22"/>
              </w:rPr>
              <w:t>60.5</w:t>
            </w:r>
          </w:p>
        </w:tc>
        <w:tc>
          <w:tcPr>
            <w:tcW w:w="992" w:type="dxa"/>
          </w:tcPr>
          <w:p w:rsidR="004C5557" w:rsidRDefault="004C5557" w:rsidP="00BF4BC3">
            <w:pPr>
              <w:tabs>
                <w:tab w:val="left" w:pos="1089"/>
              </w:tabs>
              <w:jc w:val="center"/>
              <w:rPr>
                <w:rFonts w:ascii="Arial" w:hAnsi="Arial" w:cs="Arial"/>
                <w:sz w:val="18"/>
                <w:szCs w:val="18"/>
                <w:lang w:val="en-US"/>
              </w:rPr>
            </w:pPr>
            <w:r>
              <w:rPr>
                <w:rFonts w:ascii="Arial" w:hAnsi="Arial" w:cs="Arial"/>
                <w:sz w:val="18"/>
                <w:szCs w:val="18"/>
                <w:lang w:val="en-US"/>
              </w:rPr>
              <w:t>100%</w:t>
            </w:r>
          </w:p>
        </w:tc>
        <w:tc>
          <w:tcPr>
            <w:tcW w:w="992" w:type="dxa"/>
          </w:tcPr>
          <w:p w:rsidR="004C5557" w:rsidRDefault="004C5557" w:rsidP="00BF4BC3">
            <w:pPr>
              <w:rPr>
                <w:rFonts w:ascii="Arial" w:hAnsi="Arial" w:cs="Arial"/>
                <w:sz w:val="18"/>
                <w:szCs w:val="18"/>
                <w:lang w:val="en-US"/>
              </w:rPr>
            </w:pPr>
          </w:p>
          <w:p w:rsidR="004C5557" w:rsidRDefault="004C5557" w:rsidP="00BF4BC3">
            <w:pPr>
              <w:tabs>
                <w:tab w:val="left" w:pos="1089"/>
              </w:tabs>
              <w:jc w:val="center"/>
              <w:rPr>
                <w:rFonts w:ascii="Arial" w:hAnsi="Arial" w:cs="Arial"/>
                <w:sz w:val="18"/>
                <w:szCs w:val="18"/>
                <w:lang w:val="en-US"/>
              </w:rPr>
            </w:pPr>
          </w:p>
        </w:tc>
      </w:tr>
      <w:tr w:rsidR="004C5557" w:rsidRPr="004154F5" w:rsidTr="00BF4BC3">
        <w:trPr>
          <w:trHeight w:val="570"/>
        </w:trPr>
        <w:tc>
          <w:tcPr>
            <w:tcW w:w="510" w:type="dxa"/>
          </w:tcPr>
          <w:p w:rsidR="004C5557" w:rsidRPr="00093699" w:rsidRDefault="004C5557" w:rsidP="00BF4BC3">
            <w:pPr>
              <w:tabs>
                <w:tab w:val="left" w:pos="1089"/>
              </w:tabs>
              <w:jc w:val="center"/>
              <w:rPr>
                <w:rFonts w:ascii="Arial" w:hAnsi="Arial" w:cs="Arial"/>
                <w:sz w:val="18"/>
                <w:szCs w:val="18"/>
                <w:lang w:val="en-US"/>
              </w:rPr>
            </w:pPr>
            <w:r>
              <w:rPr>
                <w:rFonts w:ascii="Arial" w:hAnsi="Arial" w:cs="Arial"/>
                <w:sz w:val="18"/>
                <w:szCs w:val="18"/>
                <w:lang w:val="en-US"/>
              </w:rPr>
              <w:t>3</w:t>
            </w:r>
          </w:p>
        </w:tc>
        <w:tc>
          <w:tcPr>
            <w:tcW w:w="2642" w:type="dxa"/>
          </w:tcPr>
          <w:p w:rsidR="004C5557" w:rsidRPr="00EE73F2" w:rsidRDefault="004C5557" w:rsidP="00BF4BC3">
            <w:pPr>
              <w:spacing w:line="360" w:lineRule="auto"/>
              <w:ind w:left="102"/>
              <w:rPr>
                <w:rFonts w:ascii="Arial" w:hAnsi="Arial" w:cs="Arial"/>
                <w:sz w:val="18"/>
                <w:szCs w:val="18"/>
              </w:rPr>
            </w:pPr>
            <w:r>
              <w:rPr>
                <w:rFonts w:ascii="Arial" w:hAnsi="Arial" w:cs="Arial"/>
              </w:rPr>
              <w:t>Waktu Lapor Hasil Tes Kritis Laboratorium</w:t>
            </w:r>
          </w:p>
        </w:tc>
        <w:tc>
          <w:tcPr>
            <w:tcW w:w="857" w:type="dxa"/>
          </w:tcPr>
          <w:p w:rsidR="004C5557" w:rsidRDefault="004C5557" w:rsidP="00BF4BC3">
            <w:pPr>
              <w:jc w:val="center"/>
              <w:rPr>
                <w:rFonts w:eastAsia="Times New Roman" w:cs="Calibri"/>
                <w:color w:val="000000"/>
                <w:sz w:val="22"/>
                <w:szCs w:val="22"/>
              </w:rPr>
            </w:pPr>
            <w:r>
              <w:rPr>
                <w:rFonts w:cs="Calibri"/>
                <w:color w:val="000000"/>
                <w:sz w:val="22"/>
                <w:szCs w:val="22"/>
              </w:rPr>
              <w:t>14.8</w:t>
            </w:r>
          </w:p>
        </w:tc>
        <w:tc>
          <w:tcPr>
            <w:tcW w:w="740" w:type="dxa"/>
          </w:tcPr>
          <w:p w:rsidR="004C5557" w:rsidRDefault="004C5557" w:rsidP="00BF4BC3">
            <w:pPr>
              <w:jc w:val="center"/>
              <w:rPr>
                <w:rFonts w:cs="Calibri"/>
                <w:color w:val="000000"/>
                <w:sz w:val="22"/>
                <w:szCs w:val="22"/>
              </w:rPr>
            </w:pPr>
            <w:r>
              <w:rPr>
                <w:rFonts w:cs="Calibri"/>
                <w:color w:val="000000"/>
                <w:sz w:val="22"/>
                <w:szCs w:val="22"/>
              </w:rPr>
              <w:t>15.5</w:t>
            </w:r>
          </w:p>
        </w:tc>
        <w:tc>
          <w:tcPr>
            <w:tcW w:w="1203" w:type="dxa"/>
          </w:tcPr>
          <w:p w:rsidR="004C5557" w:rsidRDefault="004C5557" w:rsidP="00BF4BC3">
            <w:pPr>
              <w:jc w:val="center"/>
              <w:rPr>
                <w:rFonts w:cs="Calibri"/>
                <w:color w:val="000000"/>
                <w:sz w:val="22"/>
                <w:szCs w:val="22"/>
              </w:rPr>
            </w:pPr>
            <w:r>
              <w:rPr>
                <w:rFonts w:cs="Calibri"/>
                <w:color w:val="000000"/>
                <w:sz w:val="22"/>
                <w:szCs w:val="22"/>
              </w:rPr>
              <w:t>14.8</w:t>
            </w:r>
          </w:p>
        </w:tc>
        <w:tc>
          <w:tcPr>
            <w:tcW w:w="819" w:type="dxa"/>
          </w:tcPr>
          <w:p w:rsidR="004C5557" w:rsidRDefault="004C5557" w:rsidP="00BF4BC3">
            <w:pPr>
              <w:jc w:val="center"/>
              <w:rPr>
                <w:rFonts w:eastAsia="Times New Roman" w:cs="Calibri"/>
                <w:color w:val="000000"/>
                <w:sz w:val="22"/>
                <w:szCs w:val="22"/>
              </w:rPr>
            </w:pPr>
            <w:r>
              <w:rPr>
                <w:rFonts w:cs="Calibri"/>
                <w:color w:val="000000"/>
                <w:sz w:val="22"/>
                <w:szCs w:val="22"/>
              </w:rPr>
              <w:t>14.8</w:t>
            </w:r>
          </w:p>
        </w:tc>
        <w:tc>
          <w:tcPr>
            <w:tcW w:w="992" w:type="dxa"/>
          </w:tcPr>
          <w:p w:rsidR="004C5557" w:rsidRDefault="004C5557" w:rsidP="00BF4BC3">
            <w:pPr>
              <w:tabs>
                <w:tab w:val="left" w:pos="1089"/>
              </w:tabs>
              <w:jc w:val="center"/>
              <w:rPr>
                <w:rFonts w:ascii="Arial" w:hAnsi="Arial" w:cs="Arial"/>
                <w:sz w:val="18"/>
                <w:szCs w:val="18"/>
                <w:lang w:val="en-US"/>
              </w:rPr>
            </w:pPr>
            <w:r>
              <w:rPr>
                <w:rFonts w:ascii="Arial" w:hAnsi="Arial" w:cs="Arial"/>
                <w:sz w:val="18"/>
                <w:szCs w:val="18"/>
                <w:lang w:val="en-US"/>
              </w:rPr>
              <w:t xml:space="preserve">&lt; 30 </w:t>
            </w:r>
            <w:proofErr w:type="spellStart"/>
            <w:r>
              <w:rPr>
                <w:rFonts w:ascii="Arial" w:hAnsi="Arial" w:cs="Arial"/>
                <w:sz w:val="18"/>
                <w:szCs w:val="18"/>
                <w:lang w:val="en-US"/>
              </w:rPr>
              <w:t>menit</w:t>
            </w:r>
            <w:proofErr w:type="spellEnd"/>
          </w:p>
        </w:tc>
        <w:tc>
          <w:tcPr>
            <w:tcW w:w="992" w:type="dxa"/>
          </w:tcPr>
          <w:p w:rsidR="004C5557" w:rsidRDefault="004C5557" w:rsidP="00BF4BC3">
            <w:pPr>
              <w:rPr>
                <w:rFonts w:ascii="Arial" w:hAnsi="Arial" w:cs="Arial"/>
                <w:sz w:val="18"/>
                <w:szCs w:val="18"/>
                <w:lang w:val="en-US"/>
              </w:rPr>
            </w:pPr>
          </w:p>
          <w:p w:rsidR="004C5557" w:rsidRDefault="004C5557" w:rsidP="00BF4BC3">
            <w:pPr>
              <w:rPr>
                <w:rFonts w:ascii="Arial" w:hAnsi="Arial" w:cs="Arial"/>
                <w:sz w:val="18"/>
                <w:szCs w:val="18"/>
                <w:lang w:val="en-US"/>
              </w:rPr>
            </w:pPr>
          </w:p>
          <w:p w:rsidR="004C5557" w:rsidRDefault="004C5557" w:rsidP="00BF4BC3">
            <w:pPr>
              <w:tabs>
                <w:tab w:val="left" w:pos="1089"/>
              </w:tabs>
              <w:jc w:val="center"/>
              <w:rPr>
                <w:rFonts w:ascii="Arial" w:hAnsi="Arial" w:cs="Arial"/>
                <w:sz w:val="18"/>
                <w:szCs w:val="18"/>
                <w:lang w:val="en-US"/>
              </w:rPr>
            </w:pPr>
          </w:p>
        </w:tc>
      </w:tr>
      <w:tr w:rsidR="004C5557" w:rsidRPr="004154F5" w:rsidTr="00BF4BC3">
        <w:trPr>
          <w:trHeight w:val="450"/>
        </w:trPr>
        <w:tc>
          <w:tcPr>
            <w:tcW w:w="510" w:type="dxa"/>
          </w:tcPr>
          <w:p w:rsidR="004C5557" w:rsidRPr="00093699" w:rsidRDefault="004C5557" w:rsidP="00BF4BC3">
            <w:pPr>
              <w:tabs>
                <w:tab w:val="left" w:pos="1089"/>
              </w:tabs>
              <w:jc w:val="center"/>
              <w:rPr>
                <w:rFonts w:ascii="Arial" w:hAnsi="Arial" w:cs="Arial"/>
                <w:sz w:val="18"/>
                <w:szCs w:val="18"/>
                <w:lang w:val="en-US"/>
              </w:rPr>
            </w:pPr>
            <w:r>
              <w:rPr>
                <w:rFonts w:ascii="Arial" w:hAnsi="Arial" w:cs="Arial"/>
                <w:sz w:val="18"/>
                <w:szCs w:val="18"/>
                <w:lang w:val="en-US"/>
              </w:rPr>
              <w:t>4</w:t>
            </w:r>
          </w:p>
        </w:tc>
        <w:tc>
          <w:tcPr>
            <w:tcW w:w="2642" w:type="dxa"/>
          </w:tcPr>
          <w:p w:rsidR="004C5557" w:rsidRPr="008D7AB7" w:rsidRDefault="004C5557" w:rsidP="00BF4BC3">
            <w:pPr>
              <w:autoSpaceDE w:val="0"/>
              <w:autoSpaceDN w:val="0"/>
              <w:adjustRightInd w:val="0"/>
              <w:spacing w:line="360" w:lineRule="auto"/>
              <w:rPr>
                <w:rFonts w:ascii="Arial" w:hAnsi="Arial" w:cs="Arial"/>
              </w:rPr>
            </w:pPr>
            <w:r w:rsidRPr="00093699">
              <w:rPr>
                <w:rFonts w:ascii="Arial" w:hAnsi="Arial" w:cs="Arial"/>
              </w:rPr>
              <w:t>Kepatuhan  identifikasi pasien</w:t>
            </w:r>
          </w:p>
        </w:tc>
        <w:tc>
          <w:tcPr>
            <w:tcW w:w="857" w:type="dxa"/>
          </w:tcPr>
          <w:p w:rsidR="004C5557" w:rsidRDefault="004C5557" w:rsidP="00BF4BC3">
            <w:pPr>
              <w:jc w:val="center"/>
              <w:rPr>
                <w:rFonts w:cs="Calibri"/>
                <w:color w:val="000000"/>
                <w:sz w:val="22"/>
                <w:szCs w:val="22"/>
              </w:rPr>
            </w:pPr>
            <w:r>
              <w:rPr>
                <w:rFonts w:cs="Calibri"/>
                <w:color w:val="000000"/>
                <w:sz w:val="22"/>
                <w:szCs w:val="22"/>
              </w:rPr>
              <w:t>99.8</w:t>
            </w:r>
          </w:p>
        </w:tc>
        <w:tc>
          <w:tcPr>
            <w:tcW w:w="740" w:type="dxa"/>
          </w:tcPr>
          <w:p w:rsidR="004C5557" w:rsidRDefault="004C5557" w:rsidP="00BF4BC3">
            <w:pPr>
              <w:jc w:val="center"/>
              <w:rPr>
                <w:rFonts w:cs="Calibri"/>
                <w:color w:val="000000"/>
                <w:sz w:val="22"/>
                <w:szCs w:val="22"/>
              </w:rPr>
            </w:pPr>
            <w:r>
              <w:rPr>
                <w:rFonts w:cs="Calibri"/>
                <w:color w:val="000000"/>
                <w:sz w:val="22"/>
                <w:szCs w:val="22"/>
              </w:rPr>
              <w:t>99.7</w:t>
            </w:r>
          </w:p>
        </w:tc>
        <w:tc>
          <w:tcPr>
            <w:tcW w:w="1203" w:type="dxa"/>
          </w:tcPr>
          <w:p w:rsidR="004C5557" w:rsidRDefault="004C5557" w:rsidP="00BF4BC3">
            <w:pPr>
              <w:jc w:val="center"/>
              <w:rPr>
                <w:rFonts w:cs="Calibri"/>
                <w:color w:val="000000"/>
                <w:sz w:val="22"/>
                <w:szCs w:val="22"/>
              </w:rPr>
            </w:pPr>
            <w:r>
              <w:rPr>
                <w:rFonts w:cs="Calibri"/>
                <w:color w:val="000000"/>
                <w:sz w:val="22"/>
                <w:szCs w:val="22"/>
              </w:rPr>
              <w:t>99.6</w:t>
            </w:r>
          </w:p>
        </w:tc>
        <w:tc>
          <w:tcPr>
            <w:tcW w:w="819" w:type="dxa"/>
          </w:tcPr>
          <w:p w:rsidR="004C5557" w:rsidRDefault="004C5557" w:rsidP="00BF4BC3">
            <w:pPr>
              <w:jc w:val="center"/>
              <w:rPr>
                <w:rFonts w:cs="Calibri"/>
                <w:color w:val="000000"/>
                <w:sz w:val="22"/>
                <w:szCs w:val="22"/>
              </w:rPr>
            </w:pPr>
            <w:r>
              <w:rPr>
                <w:rFonts w:cs="Calibri"/>
                <w:color w:val="000000"/>
                <w:sz w:val="22"/>
                <w:szCs w:val="22"/>
              </w:rPr>
              <w:t>99.7</w:t>
            </w:r>
          </w:p>
        </w:tc>
        <w:tc>
          <w:tcPr>
            <w:tcW w:w="992" w:type="dxa"/>
          </w:tcPr>
          <w:p w:rsidR="004C5557" w:rsidRDefault="004C5557" w:rsidP="00BF4BC3">
            <w:pPr>
              <w:tabs>
                <w:tab w:val="left" w:pos="1089"/>
              </w:tabs>
              <w:jc w:val="center"/>
              <w:rPr>
                <w:rFonts w:ascii="Arial" w:hAnsi="Arial" w:cs="Arial"/>
                <w:sz w:val="18"/>
                <w:szCs w:val="18"/>
                <w:lang w:val="en-US"/>
              </w:rPr>
            </w:pPr>
            <w:r>
              <w:rPr>
                <w:rFonts w:ascii="Arial" w:hAnsi="Arial" w:cs="Arial"/>
                <w:sz w:val="18"/>
                <w:szCs w:val="18"/>
                <w:lang w:val="en-US"/>
              </w:rPr>
              <w:t>100%</w:t>
            </w:r>
          </w:p>
        </w:tc>
        <w:tc>
          <w:tcPr>
            <w:tcW w:w="992" w:type="dxa"/>
          </w:tcPr>
          <w:p w:rsidR="004C5557" w:rsidRDefault="004C5557" w:rsidP="00BF4BC3">
            <w:pPr>
              <w:jc w:val="center"/>
              <w:rPr>
                <w:rFonts w:ascii="Arial" w:hAnsi="Arial" w:cs="Arial"/>
                <w:sz w:val="18"/>
                <w:szCs w:val="18"/>
                <w:lang w:val="en-US"/>
              </w:rPr>
            </w:pPr>
          </w:p>
          <w:p w:rsidR="004C5557" w:rsidRDefault="004C5557" w:rsidP="00BF4BC3">
            <w:pPr>
              <w:tabs>
                <w:tab w:val="left" w:pos="1089"/>
              </w:tabs>
              <w:jc w:val="center"/>
              <w:rPr>
                <w:rFonts w:ascii="Arial" w:hAnsi="Arial" w:cs="Arial"/>
                <w:sz w:val="18"/>
                <w:szCs w:val="18"/>
                <w:lang w:val="en-US"/>
              </w:rPr>
            </w:pPr>
          </w:p>
        </w:tc>
      </w:tr>
    </w:tbl>
    <w:p w:rsidR="004C5557" w:rsidRPr="00093699" w:rsidRDefault="004C5557" w:rsidP="004C5557">
      <w:pPr>
        <w:spacing w:after="0" w:line="360" w:lineRule="auto"/>
        <w:ind w:left="426" w:hanging="426"/>
        <w:rPr>
          <w:rFonts w:ascii="Arial" w:hAnsi="Arial" w:cs="Arial"/>
          <w:b/>
          <w:sz w:val="24"/>
          <w:szCs w:val="24"/>
          <w:lang w:val="en-US"/>
        </w:rPr>
      </w:pPr>
    </w:p>
    <w:p w:rsidR="004C5557" w:rsidRPr="004154F5" w:rsidRDefault="004C5557" w:rsidP="004C5557">
      <w:pPr>
        <w:spacing w:after="0" w:line="360" w:lineRule="auto"/>
        <w:ind w:left="426" w:hanging="426"/>
        <w:rPr>
          <w:rFonts w:ascii="Arial" w:hAnsi="Arial" w:cs="Arial"/>
          <w:b/>
          <w:sz w:val="24"/>
          <w:szCs w:val="24"/>
          <w:lang w:val="en-US"/>
        </w:rPr>
      </w:pPr>
      <w:r w:rsidRPr="00EE73F2">
        <w:rPr>
          <w:rFonts w:ascii="Arial" w:hAnsi="Arial" w:cs="Arial"/>
          <w:b/>
          <w:sz w:val="24"/>
          <w:szCs w:val="24"/>
        </w:rPr>
        <w:lastRenderedPageBreak/>
        <w:t>A.</w:t>
      </w:r>
      <w:r w:rsidRPr="00EE73F2">
        <w:rPr>
          <w:rFonts w:ascii="Arial" w:hAnsi="Arial" w:cs="Arial"/>
          <w:b/>
          <w:sz w:val="24"/>
          <w:szCs w:val="24"/>
        </w:rPr>
        <w:tab/>
        <w:t xml:space="preserve">Pemantauan Indikator Mutu </w:t>
      </w:r>
      <w:proofErr w:type="spellStart"/>
      <w:r>
        <w:rPr>
          <w:rFonts w:ascii="Arial" w:hAnsi="Arial" w:cs="Arial"/>
          <w:b/>
          <w:sz w:val="24"/>
          <w:szCs w:val="24"/>
          <w:lang w:val="en-US"/>
        </w:rPr>
        <w:t>Klinis</w:t>
      </w:r>
      <w:proofErr w:type="spellEnd"/>
      <w:r>
        <w:rPr>
          <w:rFonts w:ascii="Arial" w:hAnsi="Arial" w:cs="Arial"/>
          <w:b/>
          <w:sz w:val="24"/>
          <w:szCs w:val="24"/>
          <w:lang w:val="en-US"/>
        </w:rPr>
        <w:t xml:space="preserve"> </w:t>
      </w:r>
      <w:proofErr w:type="spellStart"/>
      <w:r>
        <w:rPr>
          <w:rFonts w:ascii="Arial" w:hAnsi="Arial" w:cs="Arial"/>
          <w:b/>
          <w:sz w:val="24"/>
          <w:szCs w:val="24"/>
          <w:lang w:val="en-US"/>
        </w:rPr>
        <w:t>Prioritas</w:t>
      </w:r>
      <w:proofErr w:type="spellEnd"/>
    </w:p>
    <w:p w:rsidR="004C5557" w:rsidRPr="00EE73F2" w:rsidRDefault="004C5557" w:rsidP="004C5557">
      <w:pPr>
        <w:tabs>
          <w:tab w:val="left" w:pos="1089"/>
        </w:tabs>
        <w:ind w:left="426"/>
        <w:rPr>
          <w:rFonts w:ascii="Arial" w:hAnsi="Arial" w:cs="Arial"/>
          <w:sz w:val="24"/>
          <w:szCs w:val="24"/>
        </w:rPr>
      </w:pPr>
      <w:r w:rsidRPr="00EE73F2">
        <w:rPr>
          <w:rFonts w:ascii="Arial" w:hAnsi="Arial" w:cs="Arial"/>
          <w:sz w:val="24"/>
          <w:szCs w:val="24"/>
        </w:rPr>
        <w:t>1. Indikator Area Klinik</w:t>
      </w:r>
    </w:p>
    <w:tbl>
      <w:tblPr>
        <w:tblStyle w:val="TableGrid"/>
        <w:tblW w:w="8755" w:type="dxa"/>
        <w:tblLayout w:type="fixed"/>
        <w:tblLook w:val="04A0"/>
      </w:tblPr>
      <w:tblGrid>
        <w:gridCol w:w="510"/>
        <w:gridCol w:w="2642"/>
        <w:gridCol w:w="857"/>
        <w:gridCol w:w="740"/>
        <w:gridCol w:w="1203"/>
        <w:gridCol w:w="819"/>
        <w:gridCol w:w="992"/>
        <w:gridCol w:w="992"/>
      </w:tblGrid>
      <w:tr w:rsidR="004C5557" w:rsidRPr="00EE73F2" w:rsidTr="00BF4BC3">
        <w:tc>
          <w:tcPr>
            <w:tcW w:w="510" w:type="dxa"/>
            <w:vMerge w:val="restart"/>
          </w:tcPr>
          <w:p w:rsidR="004C5557" w:rsidRPr="00EE73F2" w:rsidRDefault="004C5557" w:rsidP="00BF4BC3">
            <w:pPr>
              <w:tabs>
                <w:tab w:val="left" w:pos="1089"/>
              </w:tabs>
              <w:jc w:val="center"/>
              <w:rPr>
                <w:rFonts w:ascii="Arial" w:hAnsi="Arial" w:cs="Arial"/>
                <w:sz w:val="18"/>
                <w:szCs w:val="18"/>
              </w:rPr>
            </w:pPr>
            <w:r w:rsidRPr="00EE73F2">
              <w:rPr>
                <w:rFonts w:ascii="Arial" w:hAnsi="Arial" w:cs="Arial"/>
                <w:sz w:val="18"/>
                <w:szCs w:val="18"/>
              </w:rPr>
              <w:t>No</w:t>
            </w:r>
          </w:p>
        </w:tc>
        <w:tc>
          <w:tcPr>
            <w:tcW w:w="2642" w:type="dxa"/>
            <w:vMerge w:val="restart"/>
          </w:tcPr>
          <w:p w:rsidR="004C5557" w:rsidRPr="00EE73F2" w:rsidRDefault="004C5557" w:rsidP="00BF4BC3">
            <w:pPr>
              <w:tabs>
                <w:tab w:val="left" w:pos="1089"/>
              </w:tabs>
              <w:jc w:val="center"/>
              <w:rPr>
                <w:rFonts w:ascii="Arial" w:hAnsi="Arial" w:cs="Arial"/>
                <w:sz w:val="18"/>
                <w:szCs w:val="18"/>
              </w:rPr>
            </w:pPr>
            <w:r w:rsidRPr="00EE73F2">
              <w:rPr>
                <w:rFonts w:ascii="Arial" w:hAnsi="Arial" w:cs="Arial"/>
                <w:sz w:val="18"/>
                <w:szCs w:val="18"/>
              </w:rPr>
              <w:t>INDIKATOR</w:t>
            </w:r>
          </w:p>
        </w:tc>
        <w:tc>
          <w:tcPr>
            <w:tcW w:w="2800" w:type="dxa"/>
            <w:gridSpan w:val="3"/>
          </w:tcPr>
          <w:p w:rsidR="004C5557" w:rsidRPr="00EE73F2" w:rsidRDefault="004C5557" w:rsidP="00BF4BC3">
            <w:pPr>
              <w:tabs>
                <w:tab w:val="left" w:pos="1089"/>
              </w:tabs>
              <w:jc w:val="center"/>
              <w:rPr>
                <w:rFonts w:ascii="Arial" w:hAnsi="Arial" w:cs="Arial"/>
                <w:sz w:val="18"/>
                <w:szCs w:val="18"/>
              </w:rPr>
            </w:pPr>
            <w:r w:rsidRPr="00EE73F2">
              <w:rPr>
                <w:rFonts w:ascii="Arial" w:hAnsi="Arial" w:cs="Arial"/>
                <w:sz w:val="18"/>
                <w:szCs w:val="18"/>
              </w:rPr>
              <w:t>PENCAPAIAN BULAN</w:t>
            </w:r>
          </w:p>
        </w:tc>
        <w:tc>
          <w:tcPr>
            <w:tcW w:w="819" w:type="dxa"/>
            <w:vMerge w:val="restart"/>
          </w:tcPr>
          <w:p w:rsidR="004C5557" w:rsidRPr="00EE73F2" w:rsidRDefault="004C5557" w:rsidP="00BF4BC3">
            <w:pPr>
              <w:tabs>
                <w:tab w:val="left" w:pos="1089"/>
              </w:tabs>
              <w:jc w:val="center"/>
              <w:rPr>
                <w:rFonts w:ascii="Arial" w:hAnsi="Arial" w:cs="Arial"/>
                <w:sz w:val="18"/>
                <w:szCs w:val="18"/>
              </w:rPr>
            </w:pPr>
            <w:r w:rsidRPr="00EE73F2">
              <w:rPr>
                <w:rFonts w:ascii="Arial" w:hAnsi="Arial" w:cs="Arial"/>
                <w:sz w:val="18"/>
                <w:szCs w:val="18"/>
              </w:rPr>
              <w:t>RATA-</w:t>
            </w:r>
          </w:p>
          <w:p w:rsidR="004C5557" w:rsidRPr="00EE73F2" w:rsidRDefault="004C5557" w:rsidP="00BF4BC3">
            <w:pPr>
              <w:tabs>
                <w:tab w:val="left" w:pos="1089"/>
              </w:tabs>
              <w:jc w:val="center"/>
              <w:rPr>
                <w:rFonts w:ascii="Arial" w:hAnsi="Arial" w:cs="Arial"/>
                <w:sz w:val="18"/>
                <w:szCs w:val="18"/>
              </w:rPr>
            </w:pPr>
            <w:r w:rsidRPr="00EE73F2">
              <w:rPr>
                <w:rFonts w:ascii="Arial" w:hAnsi="Arial" w:cs="Arial"/>
                <w:sz w:val="18"/>
                <w:szCs w:val="18"/>
              </w:rPr>
              <w:t>RATA</w:t>
            </w:r>
          </w:p>
        </w:tc>
        <w:tc>
          <w:tcPr>
            <w:tcW w:w="992" w:type="dxa"/>
            <w:vMerge w:val="restart"/>
          </w:tcPr>
          <w:p w:rsidR="004C5557" w:rsidRPr="006D0231" w:rsidRDefault="004C5557" w:rsidP="00BF4BC3">
            <w:pPr>
              <w:tabs>
                <w:tab w:val="left" w:pos="1089"/>
              </w:tabs>
              <w:jc w:val="center"/>
              <w:rPr>
                <w:rFonts w:ascii="Arial" w:hAnsi="Arial" w:cs="Arial"/>
                <w:sz w:val="18"/>
                <w:szCs w:val="18"/>
                <w:lang w:val="en-US"/>
              </w:rPr>
            </w:pPr>
            <w:proofErr w:type="spellStart"/>
            <w:r>
              <w:rPr>
                <w:rFonts w:ascii="Arial" w:hAnsi="Arial" w:cs="Arial"/>
                <w:sz w:val="18"/>
                <w:szCs w:val="18"/>
                <w:lang w:val="en-US"/>
              </w:rPr>
              <w:t>Standart</w:t>
            </w:r>
            <w:proofErr w:type="spellEnd"/>
          </w:p>
        </w:tc>
        <w:tc>
          <w:tcPr>
            <w:tcW w:w="992" w:type="dxa"/>
            <w:vMerge w:val="restart"/>
          </w:tcPr>
          <w:p w:rsidR="004C5557" w:rsidRPr="009A148D" w:rsidRDefault="004C5557" w:rsidP="00BF4BC3">
            <w:pPr>
              <w:tabs>
                <w:tab w:val="left" w:pos="1089"/>
              </w:tabs>
              <w:jc w:val="center"/>
              <w:rPr>
                <w:rFonts w:ascii="Arial" w:hAnsi="Arial" w:cs="Arial"/>
                <w:sz w:val="18"/>
                <w:szCs w:val="18"/>
                <w:lang w:val="en-US"/>
              </w:rPr>
            </w:pPr>
            <w:r>
              <w:rPr>
                <w:rFonts w:ascii="Arial" w:hAnsi="Arial" w:cs="Arial"/>
                <w:sz w:val="18"/>
                <w:szCs w:val="18"/>
                <w:lang w:val="en-US"/>
              </w:rPr>
              <w:t>RTL</w:t>
            </w:r>
          </w:p>
        </w:tc>
      </w:tr>
      <w:tr w:rsidR="004C5557" w:rsidRPr="00EE73F2" w:rsidTr="00BF4BC3">
        <w:tc>
          <w:tcPr>
            <w:tcW w:w="510" w:type="dxa"/>
            <w:vMerge/>
          </w:tcPr>
          <w:p w:rsidR="004C5557" w:rsidRPr="00EE73F2" w:rsidRDefault="004C5557" w:rsidP="00BF4BC3">
            <w:pPr>
              <w:tabs>
                <w:tab w:val="left" w:pos="1089"/>
              </w:tabs>
              <w:jc w:val="center"/>
              <w:rPr>
                <w:rFonts w:ascii="Arial" w:hAnsi="Arial" w:cs="Arial"/>
                <w:sz w:val="18"/>
                <w:szCs w:val="18"/>
              </w:rPr>
            </w:pPr>
          </w:p>
        </w:tc>
        <w:tc>
          <w:tcPr>
            <w:tcW w:w="2642" w:type="dxa"/>
            <w:vMerge/>
          </w:tcPr>
          <w:p w:rsidR="004C5557" w:rsidRPr="00EE73F2" w:rsidRDefault="004C5557" w:rsidP="00BF4BC3">
            <w:pPr>
              <w:tabs>
                <w:tab w:val="left" w:pos="1089"/>
              </w:tabs>
              <w:jc w:val="center"/>
              <w:rPr>
                <w:rFonts w:ascii="Arial" w:hAnsi="Arial" w:cs="Arial"/>
                <w:sz w:val="18"/>
                <w:szCs w:val="18"/>
              </w:rPr>
            </w:pPr>
          </w:p>
        </w:tc>
        <w:tc>
          <w:tcPr>
            <w:tcW w:w="857" w:type="dxa"/>
          </w:tcPr>
          <w:p w:rsidR="004C5557" w:rsidRPr="009D4616" w:rsidRDefault="004C5557" w:rsidP="00BF4BC3">
            <w:pPr>
              <w:tabs>
                <w:tab w:val="left" w:pos="1089"/>
              </w:tabs>
              <w:jc w:val="both"/>
              <w:rPr>
                <w:rFonts w:ascii="Arial" w:hAnsi="Arial" w:cs="Arial"/>
                <w:sz w:val="18"/>
                <w:szCs w:val="18"/>
              </w:rPr>
            </w:pPr>
            <w:r>
              <w:rPr>
                <w:rFonts w:ascii="Arial" w:hAnsi="Arial" w:cs="Arial"/>
                <w:sz w:val="18"/>
                <w:szCs w:val="18"/>
              </w:rPr>
              <w:t>Oktober</w:t>
            </w:r>
          </w:p>
        </w:tc>
        <w:tc>
          <w:tcPr>
            <w:tcW w:w="740" w:type="dxa"/>
          </w:tcPr>
          <w:p w:rsidR="004C5557" w:rsidRPr="00EE73F2" w:rsidRDefault="004C5557" w:rsidP="00BF4BC3">
            <w:pPr>
              <w:tabs>
                <w:tab w:val="left" w:pos="1089"/>
              </w:tabs>
              <w:jc w:val="center"/>
              <w:rPr>
                <w:rFonts w:ascii="Arial" w:hAnsi="Arial" w:cs="Arial"/>
                <w:sz w:val="18"/>
                <w:szCs w:val="18"/>
              </w:rPr>
            </w:pPr>
            <w:r>
              <w:rPr>
                <w:rFonts w:ascii="Arial" w:hAnsi="Arial" w:cs="Arial"/>
                <w:sz w:val="18"/>
                <w:szCs w:val="18"/>
              </w:rPr>
              <w:t>Nop</w:t>
            </w:r>
          </w:p>
        </w:tc>
        <w:tc>
          <w:tcPr>
            <w:tcW w:w="1203" w:type="dxa"/>
          </w:tcPr>
          <w:p w:rsidR="004C5557" w:rsidRPr="00EE73F2" w:rsidRDefault="004C5557" w:rsidP="00BF4BC3">
            <w:pPr>
              <w:tabs>
                <w:tab w:val="left" w:pos="1089"/>
              </w:tabs>
              <w:jc w:val="center"/>
              <w:rPr>
                <w:rFonts w:ascii="Arial" w:hAnsi="Arial" w:cs="Arial"/>
                <w:sz w:val="18"/>
                <w:szCs w:val="18"/>
              </w:rPr>
            </w:pPr>
            <w:r>
              <w:rPr>
                <w:rFonts w:ascii="Arial" w:hAnsi="Arial" w:cs="Arial"/>
                <w:sz w:val="18"/>
                <w:szCs w:val="18"/>
              </w:rPr>
              <w:t>Desember</w:t>
            </w:r>
          </w:p>
        </w:tc>
        <w:tc>
          <w:tcPr>
            <w:tcW w:w="819" w:type="dxa"/>
            <w:vMerge/>
          </w:tcPr>
          <w:p w:rsidR="004C5557" w:rsidRPr="00EE73F2" w:rsidRDefault="004C5557" w:rsidP="00BF4BC3">
            <w:pPr>
              <w:tabs>
                <w:tab w:val="left" w:pos="1089"/>
              </w:tabs>
              <w:jc w:val="center"/>
              <w:rPr>
                <w:rFonts w:ascii="Arial" w:hAnsi="Arial" w:cs="Arial"/>
                <w:sz w:val="18"/>
                <w:szCs w:val="18"/>
              </w:rPr>
            </w:pPr>
          </w:p>
        </w:tc>
        <w:tc>
          <w:tcPr>
            <w:tcW w:w="992" w:type="dxa"/>
            <w:vMerge/>
          </w:tcPr>
          <w:p w:rsidR="004C5557" w:rsidRPr="00EE73F2" w:rsidRDefault="004C5557" w:rsidP="00BF4BC3">
            <w:pPr>
              <w:tabs>
                <w:tab w:val="left" w:pos="1089"/>
              </w:tabs>
              <w:jc w:val="center"/>
              <w:rPr>
                <w:rFonts w:ascii="Arial" w:hAnsi="Arial" w:cs="Arial"/>
                <w:sz w:val="18"/>
                <w:szCs w:val="18"/>
              </w:rPr>
            </w:pPr>
          </w:p>
        </w:tc>
        <w:tc>
          <w:tcPr>
            <w:tcW w:w="992" w:type="dxa"/>
            <w:vMerge/>
          </w:tcPr>
          <w:p w:rsidR="004C5557" w:rsidRPr="00EE73F2" w:rsidRDefault="004C5557" w:rsidP="00BF4BC3">
            <w:pPr>
              <w:tabs>
                <w:tab w:val="left" w:pos="1089"/>
              </w:tabs>
              <w:jc w:val="center"/>
              <w:rPr>
                <w:rFonts w:ascii="Arial" w:hAnsi="Arial" w:cs="Arial"/>
                <w:sz w:val="18"/>
                <w:szCs w:val="18"/>
              </w:rPr>
            </w:pPr>
          </w:p>
        </w:tc>
      </w:tr>
      <w:tr w:rsidR="004C5557" w:rsidRPr="00EE73F2" w:rsidTr="00BF4BC3">
        <w:trPr>
          <w:trHeight w:val="1325"/>
        </w:trPr>
        <w:tc>
          <w:tcPr>
            <w:tcW w:w="510" w:type="dxa"/>
          </w:tcPr>
          <w:p w:rsidR="004C5557" w:rsidRPr="00EE73F2" w:rsidRDefault="004C5557" w:rsidP="00BF4BC3">
            <w:pPr>
              <w:tabs>
                <w:tab w:val="left" w:pos="1089"/>
              </w:tabs>
              <w:jc w:val="center"/>
              <w:rPr>
                <w:rFonts w:ascii="Arial" w:hAnsi="Arial" w:cs="Arial"/>
                <w:sz w:val="18"/>
                <w:szCs w:val="18"/>
              </w:rPr>
            </w:pPr>
            <w:r w:rsidRPr="00EE73F2">
              <w:rPr>
                <w:rFonts w:ascii="Arial" w:hAnsi="Arial" w:cs="Arial"/>
                <w:sz w:val="18"/>
                <w:szCs w:val="18"/>
              </w:rPr>
              <w:t>1</w:t>
            </w:r>
          </w:p>
        </w:tc>
        <w:tc>
          <w:tcPr>
            <w:tcW w:w="2642" w:type="dxa"/>
          </w:tcPr>
          <w:p w:rsidR="004C5557" w:rsidRPr="004E7E67" w:rsidRDefault="004C5557" w:rsidP="00BF4BC3">
            <w:pPr>
              <w:spacing w:line="360" w:lineRule="auto"/>
              <w:ind w:left="102"/>
              <w:rPr>
                <w:rFonts w:ascii="Arial" w:hAnsi="Arial" w:cs="Arial"/>
              </w:rPr>
            </w:pPr>
            <w:r w:rsidRPr="004154F5">
              <w:rPr>
                <w:rFonts w:ascii="Arial" w:hAnsi="Arial" w:cs="Arial"/>
              </w:rPr>
              <w:t>Pemberian loading dose aspilet dan clopidogrel pada pasien STEMI dan NSTEMI (IGD)</w:t>
            </w:r>
          </w:p>
        </w:tc>
        <w:tc>
          <w:tcPr>
            <w:tcW w:w="857" w:type="dxa"/>
          </w:tcPr>
          <w:p w:rsidR="004C5557" w:rsidRDefault="004C5557" w:rsidP="00BF4BC3">
            <w:pPr>
              <w:widowControl w:val="0"/>
              <w:jc w:val="center"/>
              <w:rPr>
                <w:rFonts w:ascii="Arial" w:hAnsi="Arial" w:cs="Arial"/>
                <w:color w:val="000000"/>
              </w:rPr>
            </w:pPr>
            <w:r>
              <w:rPr>
                <w:rFonts w:ascii="Arial" w:hAnsi="Arial" w:cs="Arial"/>
                <w:color w:val="000000"/>
              </w:rPr>
              <w:t>0</w:t>
            </w:r>
          </w:p>
        </w:tc>
        <w:tc>
          <w:tcPr>
            <w:tcW w:w="740" w:type="dxa"/>
          </w:tcPr>
          <w:p w:rsidR="004C5557" w:rsidRDefault="004C5557" w:rsidP="00BF4BC3">
            <w:pPr>
              <w:jc w:val="center"/>
              <w:rPr>
                <w:color w:val="000000"/>
                <w:sz w:val="22"/>
                <w:szCs w:val="22"/>
              </w:rPr>
            </w:pPr>
            <w:r>
              <w:rPr>
                <w:color w:val="000000"/>
                <w:sz w:val="22"/>
                <w:szCs w:val="22"/>
              </w:rPr>
              <w:t>100</w:t>
            </w:r>
          </w:p>
        </w:tc>
        <w:tc>
          <w:tcPr>
            <w:tcW w:w="1203" w:type="dxa"/>
          </w:tcPr>
          <w:p w:rsidR="004C5557" w:rsidRDefault="004C5557" w:rsidP="00BF4BC3">
            <w:pPr>
              <w:jc w:val="center"/>
              <w:rPr>
                <w:color w:val="000000"/>
                <w:sz w:val="22"/>
                <w:szCs w:val="22"/>
              </w:rPr>
            </w:pPr>
            <w:r>
              <w:rPr>
                <w:color w:val="000000"/>
                <w:sz w:val="22"/>
                <w:szCs w:val="22"/>
              </w:rPr>
              <w:t>100</w:t>
            </w:r>
          </w:p>
        </w:tc>
        <w:tc>
          <w:tcPr>
            <w:tcW w:w="819" w:type="dxa"/>
          </w:tcPr>
          <w:p w:rsidR="004C5557" w:rsidRDefault="004C5557" w:rsidP="00BF4BC3">
            <w:pPr>
              <w:widowControl w:val="0"/>
              <w:jc w:val="center"/>
              <w:rPr>
                <w:rFonts w:ascii="Arial" w:hAnsi="Arial" w:cs="Arial"/>
                <w:color w:val="000000"/>
              </w:rPr>
            </w:pPr>
            <w:r>
              <w:rPr>
                <w:rFonts w:ascii="Arial" w:hAnsi="Arial" w:cs="Arial"/>
                <w:color w:val="000000"/>
              </w:rPr>
              <w:t>100</w:t>
            </w:r>
          </w:p>
          <w:p w:rsidR="004C5557" w:rsidRDefault="004C5557" w:rsidP="00BF4BC3">
            <w:pPr>
              <w:widowControl w:val="0"/>
              <w:jc w:val="center"/>
              <w:rPr>
                <w:rFonts w:ascii="Arial" w:hAnsi="Arial" w:cs="Arial"/>
                <w:color w:val="000000"/>
              </w:rPr>
            </w:pPr>
          </w:p>
          <w:p w:rsidR="004C5557" w:rsidRDefault="004C5557" w:rsidP="00BF4BC3">
            <w:pPr>
              <w:widowControl w:val="0"/>
              <w:jc w:val="center"/>
              <w:rPr>
                <w:rFonts w:ascii="Arial" w:hAnsi="Arial" w:cs="Arial"/>
                <w:color w:val="000000"/>
              </w:rPr>
            </w:pPr>
          </w:p>
          <w:p w:rsidR="004C5557" w:rsidRDefault="004C5557" w:rsidP="00BF4BC3">
            <w:pPr>
              <w:widowControl w:val="0"/>
              <w:jc w:val="center"/>
              <w:rPr>
                <w:rFonts w:ascii="Arial" w:hAnsi="Arial" w:cs="Arial"/>
                <w:color w:val="000000"/>
              </w:rPr>
            </w:pPr>
          </w:p>
          <w:p w:rsidR="004C5557" w:rsidRDefault="004C5557" w:rsidP="00BF4BC3">
            <w:pPr>
              <w:widowControl w:val="0"/>
              <w:jc w:val="center"/>
              <w:rPr>
                <w:rFonts w:ascii="Arial" w:hAnsi="Arial" w:cs="Arial"/>
                <w:color w:val="000000"/>
              </w:rPr>
            </w:pPr>
          </w:p>
        </w:tc>
        <w:tc>
          <w:tcPr>
            <w:tcW w:w="992" w:type="dxa"/>
          </w:tcPr>
          <w:p w:rsidR="004C5557" w:rsidRDefault="004C5557" w:rsidP="00BF4BC3">
            <w:pPr>
              <w:tabs>
                <w:tab w:val="left" w:pos="1089"/>
              </w:tabs>
              <w:jc w:val="center"/>
              <w:rPr>
                <w:rFonts w:ascii="Arial" w:hAnsi="Arial" w:cs="Arial"/>
                <w:sz w:val="18"/>
                <w:szCs w:val="18"/>
                <w:lang w:val="en-US"/>
              </w:rPr>
            </w:pPr>
            <w:r>
              <w:rPr>
                <w:rFonts w:ascii="Arial" w:hAnsi="Arial" w:cs="Arial"/>
                <w:sz w:val="18"/>
                <w:szCs w:val="18"/>
                <w:lang w:val="en-US"/>
              </w:rPr>
              <w:t>80%</w:t>
            </w:r>
          </w:p>
          <w:p w:rsidR="004C5557" w:rsidRPr="004E7E67" w:rsidRDefault="004C5557" w:rsidP="00BF4BC3">
            <w:pPr>
              <w:tabs>
                <w:tab w:val="left" w:pos="1089"/>
              </w:tabs>
              <w:jc w:val="center"/>
              <w:rPr>
                <w:rFonts w:ascii="Arial" w:hAnsi="Arial" w:cs="Arial"/>
                <w:sz w:val="18"/>
                <w:szCs w:val="18"/>
              </w:rPr>
            </w:pPr>
          </w:p>
          <w:p w:rsidR="004C5557" w:rsidRDefault="004C5557" w:rsidP="00BF4BC3">
            <w:pPr>
              <w:tabs>
                <w:tab w:val="left" w:pos="1089"/>
              </w:tabs>
              <w:jc w:val="center"/>
              <w:rPr>
                <w:rFonts w:ascii="Arial" w:hAnsi="Arial" w:cs="Arial"/>
                <w:sz w:val="18"/>
                <w:szCs w:val="18"/>
                <w:lang w:val="en-US"/>
              </w:rPr>
            </w:pPr>
          </w:p>
          <w:p w:rsidR="004C5557" w:rsidRPr="004154F5" w:rsidRDefault="004C5557" w:rsidP="00BF4BC3">
            <w:pPr>
              <w:tabs>
                <w:tab w:val="left" w:pos="1089"/>
              </w:tabs>
              <w:jc w:val="center"/>
              <w:rPr>
                <w:rFonts w:ascii="Arial" w:hAnsi="Arial" w:cs="Arial"/>
                <w:sz w:val="18"/>
                <w:szCs w:val="18"/>
                <w:lang w:val="en-US"/>
              </w:rPr>
            </w:pPr>
          </w:p>
        </w:tc>
        <w:tc>
          <w:tcPr>
            <w:tcW w:w="992" w:type="dxa"/>
          </w:tcPr>
          <w:p w:rsidR="004C5557" w:rsidRDefault="004C5557" w:rsidP="00BF4BC3">
            <w:pPr>
              <w:rPr>
                <w:rFonts w:ascii="Arial" w:hAnsi="Arial" w:cs="Arial"/>
                <w:sz w:val="18"/>
                <w:szCs w:val="18"/>
                <w:lang w:val="en-US"/>
              </w:rPr>
            </w:pPr>
          </w:p>
          <w:p w:rsidR="004C5557" w:rsidRPr="004E7E67" w:rsidRDefault="004C5557" w:rsidP="00BF4BC3">
            <w:pPr>
              <w:rPr>
                <w:rFonts w:ascii="Arial" w:hAnsi="Arial" w:cs="Arial"/>
                <w:sz w:val="18"/>
                <w:szCs w:val="18"/>
              </w:rPr>
            </w:pPr>
          </w:p>
          <w:p w:rsidR="004C5557" w:rsidRPr="004154F5" w:rsidRDefault="004C5557" w:rsidP="00BF4BC3">
            <w:pPr>
              <w:tabs>
                <w:tab w:val="left" w:pos="1089"/>
              </w:tabs>
              <w:jc w:val="center"/>
              <w:rPr>
                <w:rFonts w:ascii="Arial" w:hAnsi="Arial" w:cs="Arial"/>
                <w:sz w:val="18"/>
                <w:szCs w:val="18"/>
                <w:lang w:val="en-US"/>
              </w:rPr>
            </w:pPr>
          </w:p>
        </w:tc>
      </w:tr>
      <w:tr w:rsidR="004C5557" w:rsidRPr="00EE73F2" w:rsidTr="00BF4BC3">
        <w:tc>
          <w:tcPr>
            <w:tcW w:w="510" w:type="dxa"/>
          </w:tcPr>
          <w:p w:rsidR="004C5557" w:rsidRPr="00EE73F2" w:rsidRDefault="004C5557" w:rsidP="00BF4BC3">
            <w:pPr>
              <w:tabs>
                <w:tab w:val="left" w:pos="1089"/>
              </w:tabs>
              <w:jc w:val="center"/>
              <w:rPr>
                <w:rFonts w:ascii="Arial" w:hAnsi="Arial" w:cs="Arial"/>
                <w:sz w:val="18"/>
                <w:szCs w:val="18"/>
              </w:rPr>
            </w:pPr>
            <w:r w:rsidRPr="00EE73F2">
              <w:rPr>
                <w:rFonts w:ascii="Arial" w:hAnsi="Arial" w:cs="Arial"/>
                <w:sz w:val="18"/>
                <w:szCs w:val="18"/>
              </w:rPr>
              <w:t>2</w:t>
            </w:r>
          </w:p>
        </w:tc>
        <w:tc>
          <w:tcPr>
            <w:tcW w:w="2642" w:type="dxa"/>
          </w:tcPr>
          <w:p w:rsidR="004C5557" w:rsidRPr="004E7E67" w:rsidRDefault="004C5557" w:rsidP="00BF4BC3">
            <w:pPr>
              <w:spacing w:line="360" w:lineRule="auto"/>
              <w:rPr>
                <w:rFonts w:ascii="Arial" w:hAnsi="Arial" w:cs="Arial"/>
              </w:rPr>
            </w:pPr>
            <w:r w:rsidRPr="004154F5">
              <w:rPr>
                <w:rFonts w:ascii="Arial" w:hAnsi="Arial" w:cs="Arial"/>
              </w:rPr>
              <w:t>Pemberian Fibrinolisis pada pasien STEMI non PCI (IGD)</w:t>
            </w:r>
          </w:p>
        </w:tc>
        <w:tc>
          <w:tcPr>
            <w:tcW w:w="857" w:type="dxa"/>
          </w:tcPr>
          <w:p w:rsidR="004C5557" w:rsidRDefault="004C5557" w:rsidP="00BF4BC3">
            <w:pPr>
              <w:widowControl w:val="0"/>
              <w:jc w:val="center"/>
              <w:rPr>
                <w:rFonts w:ascii="Arial" w:hAnsi="Arial" w:cs="Arial"/>
                <w:color w:val="000000"/>
              </w:rPr>
            </w:pPr>
            <w:r>
              <w:rPr>
                <w:rFonts w:ascii="Arial" w:hAnsi="Arial" w:cs="Arial"/>
                <w:color w:val="000000"/>
              </w:rPr>
              <w:t>0</w:t>
            </w:r>
          </w:p>
        </w:tc>
        <w:tc>
          <w:tcPr>
            <w:tcW w:w="740" w:type="dxa"/>
          </w:tcPr>
          <w:p w:rsidR="004C5557" w:rsidRDefault="004C5557" w:rsidP="00BF4BC3">
            <w:pPr>
              <w:jc w:val="center"/>
              <w:rPr>
                <w:color w:val="000000"/>
                <w:sz w:val="22"/>
                <w:szCs w:val="22"/>
              </w:rPr>
            </w:pPr>
            <w:r>
              <w:rPr>
                <w:color w:val="000000"/>
                <w:sz w:val="22"/>
                <w:szCs w:val="22"/>
              </w:rPr>
              <w:t>0</w:t>
            </w:r>
          </w:p>
        </w:tc>
        <w:tc>
          <w:tcPr>
            <w:tcW w:w="1203" w:type="dxa"/>
          </w:tcPr>
          <w:p w:rsidR="004C5557" w:rsidRDefault="004C5557" w:rsidP="00BF4BC3">
            <w:pPr>
              <w:jc w:val="center"/>
              <w:rPr>
                <w:color w:val="000000"/>
                <w:sz w:val="22"/>
                <w:szCs w:val="22"/>
              </w:rPr>
            </w:pPr>
            <w:r>
              <w:rPr>
                <w:color w:val="000000"/>
                <w:sz w:val="22"/>
                <w:szCs w:val="22"/>
              </w:rPr>
              <w:t>0</w:t>
            </w:r>
          </w:p>
        </w:tc>
        <w:tc>
          <w:tcPr>
            <w:tcW w:w="819" w:type="dxa"/>
          </w:tcPr>
          <w:p w:rsidR="004C5557" w:rsidRDefault="004C5557" w:rsidP="00BF4BC3">
            <w:pPr>
              <w:widowControl w:val="0"/>
              <w:jc w:val="center"/>
              <w:rPr>
                <w:rFonts w:ascii="Arial" w:hAnsi="Arial" w:cs="Arial"/>
                <w:color w:val="000000"/>
              </w:rPr>
            </w:pPr>
            <w:r>
              <w:rPr>
                <w:rFonts w:ascii="Arial" w:hAnsi="Arial" w:cs="Arial"/>
                <w:color w:val="000000"/>
              </w:rPr>
              <w:t>100</w:t>
            </w:r>
          </w:p>
        </w:tc>
        <w:tc>
          <w:tcPr>
            <w:tcW w:w="992" w:type="dxa"/>
          </w:tcPr>
          <w:p w:rsidR="004C5557" w:rsidRPr="00746CCD" w:rsidRDefault="004C5557" w:rsidP="00BF4BC3">
            <w:pPr>
              <w:tabs>
                <w:tab w:val="left" w:pos="1089"/>
              </w:tabs>
              <w:jc w:val="center"/>
              <w:rPr>
                <w:rFonts w:ascii="Arial" w:hAnsi="Arial" w:cs="Arial"/>
                <w:sz w:val="18"/>
                <w:szCs w:val="18"/>
                <w:lang w:val="en-US"/>
              </w:rPr>
            </w:pPr>
            <w:r>
              <w:rPr>
                <w:rFonts w:ascii="Arial" w:hAnsi="Arial" w:cs="Arial"/>
                <w:sz w:val="18"/>
                <w:szCs w:val="18"/>
                <w:lang w:val="en-US"/>
              </w:rPr>
              <w:t>90%</w:t>
            </w:r>
          </w:p>
        </w:tc>
        <w:tc>
          <w:tcPr>
            <w:tcW w:w="992" w:type="dxa"/>
          </w:tcPr>
          <w:p w:rsidR="004C5557" w:rsidRPr="00EE73F2" w:rsidRDefault="004C5557" w:rsidP="00BF4BC3">
            <w:pPr>
              <w:tabs>
                <w:tab w:val="left" w:pos="1089"/>
              </w:tabs>
              <w:jc w:val="center"/>
              <w:rPr>
                <w:rFonts w:ascii="Arial" w:hAnsi="Arial" w:cs="Arial"/>
                <w:sz w:val="18"/>
                <w:szCs w:val="18"/>
              </w:rPr>
            </w:pPr>
          </w:p>
        </w:tc>
      </w:tr>
      <w:tr w:rsidR="004C5557" w:rsidRPr="00EE73F2" w:rsidTr="00BF4BC3">
        <w:tc>
          <w:tcPr>
            <w:tcW w:w="510" w:type="dxa"/>
          </w:tcPr>
          <w:p w:rsidR="004C5557" w:rsidRPr="00EE73F2" w:rsidRDefault="004C5557" w:rsidP="00BF4BC3">
            <w:pPr>
              <w:tabs>
                <w:tab w:val="left" w:pos="1089"/>
              </w:tabs>
              <w:jc w:val="center"/>
              <w:rPr>
                <w:rFonts w:ascii="Arial" w:hAnsi="Arial" w:cs="Arial"/>
                <w:sz w:val="18"/>
                <w:szCs w:val="18"/>
              </w:rPr>
            </w:pPr>
            <w:r w:rsidRPr="00EE73F2">
              <w:rPr>
                <w:rFonts w:ascii="Arial" w:hAnsi="Arial" w:cs="Arial"/>
                <w:sz w:val="18"/>
                <w:szCs w:val="18"/>
              </w:rPr>
              <w:t>3</w:t>
            </w:r>
          </w:p>
        </w:tc>
        <w:tc>
          <w:tcPr>
            <w:tcW w:w="2642" w:type="dxa"/>
          </w:tcPr>
          <w:p w:rsidR="004C5557" w:rsidRPr="004E7E67" w:rsidRDefault="004C5557" w:rsidP="00BF4BC3">
            <w:pPr>
              <w:spacing w:line="360" w:lineRule="auto"/>
              <w:rPr>
                <w:rFonts w:ascii="Arial" w:hAnsi="Arial" w:cs="Arial"/>
              </w:rPr>
            </w:pPr>
            <w:r w:rsidRPr="004154F5">
              <w:rPr>
                <w:rFonts w:ascii="Arial" w:hAnsi="Arial" w:cs="Arial"/>
              </w:rPr>
              <w:t>Pemberian Ace Inhibitor atau ARB pada pasien ADFH (Rawat Inap dan IPI)</w:t>
            </w:r>
          </w:p>
        </w:tc>
        <w:tc>
          <w:tcPr>
            <w:tcW w:w="857" w:type="dxa"/>
          </w:tcPr>
          <w:p w:rsidR="004C5557" w:rsidRDefault="004C5557" w:rsidP="00BF4BC3">
            <w:pPr>
              <w:jc w:val="center"/>
              <w:rPr>
                <w:rFonts w:cs="Calibri"/>
                <w:color w:val="000000"/>
                <w:sz w:val="22"/>
                <w:szCs w:val="22"/>
              </w:rPr>
            </w:pPr>
            <w:r>
              <w:rPr>
                <w:rFonts w:cs="Calibri"/>
                <w:color w:val="000000"/>
                <w:sz w:val="22"/>
                <w:szCs w:val="22"/>
              </w:rPr>
              <w:t>0.0</w:t>
            </w:r>
          </w:p>
        </w:tc>
        <w:tc>
          <w:tcPr>
            <w:tcW w:w="740" w:type="dxa"/>
          </w:tcPr>
          <w:p w:rsidR="004C5557" w:rsidRDefault="004C5557" w:rsidP="00BF4BC3">
            <w:pPr>
              <w:jc w:val="center"/>
              <w:rPr>
                <w:rFonts w:cs="Calibri"/>
                <w:color w:val="000000"/>
                <w:sz w:val="22"/>
                <w:szCs w:val="22"/>
              </w:rPr>
            </w:pPr>
            <w:r>
              <w:rPr>
                <w:rFonts w:cs="Calibri"/>
                <w:color w:val="000000"/>
                <w:sz w:val="22"/>
                <w:szCs w:val="22"/>
              </w:rPr>
              <w:t>100.0</w:t>
            </w:r>
          </w:p>
        </w:tc>
        <w:tc>
          <w:tcPr>
            <w:tcW w:w="1203" w:type="dxa"/>
          </w:tcPr>
          <w:p w:rsidR="004C5557" w:rsidRDefault="004C5557" w:rsidP="00BF4BC3">
            <w:pPr>
              <w:jc w:val="center"/>
              <w:rPr>
                <w:rFonts w:cs="Calibri"/>
                <w:color w:val="000000"/>
                <w:sz w:val="22"/>
                <w:szCs w:val="22"/>
              </w:rPr>
            </w:pPr>
            <w:r>
              <w:rPr>
                <w:rFonts w:cs="Calibri"/>
                <w:color w:val="000000"/>
                <w:sz w:val="22"/>
                <w:szCs w:val="22"/>
              </w:rPr>
              <w:t>100.0</w:t>
            </w:r>
          </w:p>
        </w:tc>
        <w:tc>
          <w:tcPr>
            <w:tcW w:w="819" w:type="dxa"/>
          </w:tcPr>
          <w:p w:rsidR="004C5557" w:rsidRDefault="004C5557" w:rsidP="00BF4BC3">
            <w:pPr>
              <w:jc w:val="center"/>
              <w:rPr>
                <w:rFonts w:cs="Calibri"/>
                <w:color w:val="000000"/>
                <w:sz w:val="22"/>
                <w:szCs w:val="22"/>
              </w:rPr>
            </w:pPr>
            <w:r>
              <w:rPr>
                <w:rFonts w:cs="Calibri"/>
                <w:color w:val="000000"/>
                <w:sz w:val="22"/>
                <w:szCs w:val="22"/>
              </w:rPr>
              <w:t>100</w:t>
            </w:r>
          </w:p>
        </w:tc>
        <w:tc>
          <w:tcPr>
            <w:tcW w:w="992" w:type="dxa"/>
          </w:tcPr>
          <w:p w:rsidR="004C5557" w:rsidRPr="00746CCD" w:rsidRDefault="004C5557" w:rsidP="00BF4BC3">
            <w:pPr>
              <w:tabs>
                <w:tab w:val="left" w:pos="1089"/>
              </w:tabs>
              <w:jc w:val="center"/>
              <w:rPr>
                <w:rFonts w:ascii="Arial" w:hAnsi="Arial" w:cs="Arial"/>
                <w:sz w:val="18"/>
                <w:szCs w:val="18"/>
                <w:lang w:val="en-US"/>
              </w:rPr>
            </w:pPr>
            <w:r>
              <w:rPr>
                <w:rFonts w:ascii="Arial" w:hAnsi="Arial" w:cs="Arial"/>
                <w:sz w:val="18"/>
                <w:szCs w:val="18"/>
                <w:lang w:val="en-US"/>
              </w:rPr>
              <w:t>90%</w:t>
            </w:r>
          </w:p>
        </w:tc>
        <w:tc>
          <w:tcPr>
            <w:tcW w:w="992" w:type="dxa"/>
          </w:tcPr>
          <w:p w:rsidR="004C5557" w:rsidRPr="00EE73F2" w:rsidRDefault="004C5557" w:rsidP="00BF4BC3">
            <w:pPr>
              <w:tabs>
                <w:tab w:val="left" w:pos="1089"/>
              </w:tabs>
              <w:jc w:val="center"/>
              <w:rPr>
                <w:rFonts w:ascii="Arial" w:hAnsi="Arial" w:cs="Arial"/>
                <w:sz w:val="18"/>
                <w:szCs w:val="18"/>
              </w:rPr>
            </w:pPr>
          </w:p>
        </w:tc>
      </w:tr>
    </w:tbl>
    <w:p w:rsidR="004C5557" w:rsidRPr="00EE73F2" w:rsidRDefault="004C5557" w:rsidP="004C5557">
      <w:pPr>
        <w:tabs>
          <w:tab w:val="left" w:pos="1089"/>
        </w:tabs>
        <w:ind w:left="426"/>
        <w:rPr>
          <w:rFonts w:ascii="Arial" w:hAnsi="Arial" w:cs="Arial"/>
          <w:sz w:val="24"/>
          <w:szCs w:val="24"/>
        </w:rPr>
      </w:pPr>
    </w:p>
    <w:p w:rsidR="004C5557" w:rsidRPr="00EE73F2" w:rsidRDefault="004C5557" w:rsidP="004C5557">
      <w:pPr>
        <w:tabs>
          <w:tab w:val="left" w:pos="1089"/>
        </w:tabs>
        <w:ind w:left="426"/>
        <w:rPr>
          <w:rFonts w:ascii="Arial" w:hAnsi="Arial" w:cs="Arial"/>
          <w:sz w:val="24"/>
          <w:szCs w:val="24"/>
        </w:rPr>
      </w:pPr>
      <w:r w:rsidRPr="00EE73F2">
        <w:rPr>
          <w:rFonts w:ascii="Arial" w:hAnsi="Arial" w:cs="Arial"/>
          <w:sz w:val="24"/>
          <w:szCs w:val="24"/>
        </w:rPr>
        <w:t>2. Indikator Area Manajemen</w:t>
      </w:r>
    </w:p>
    <w:tbl>
      <w:tblPr>
        <w:tblStyle w:val="TableGrid"/>
        <w:tblW w:w="8755" w:type="dxa"/>
        <w:tblLayout w:type="fixed"/>
        <w:tblLook w:val="04A0"/>
      </w:tblPr>
      <w:tblGrid>
        <w:gridCol w:w="508"/>
        <w:gridCol w:w="2641"/>
        <w:gridCol w:w="857"/>
        <w:gridCol w:w="946"/>
        <w:gridCol w:w="968"/>
        <w:gridCol w:w="992"/>
        <w:gridCol w:w="1134"/>
        <w:gridCol w:w="709"/>
      </w:tblGrid>
      <w:tr w:rsidR="004C5557" w:rsidRPr="00EE73F2" w:rsidTr="00BF4BC3">
        <w:tc>
          <w:tcPr>
            <w:tcW w:w="508" w:type="dxa"/>
            <w:vMerge w:val="restart"/>
          </w:tcPr>
          <w:p w:rsidR="004C5557" w:rsidRPr="00EE73F2" w:rsidRDefault="004C5557" w:rsidP="00BF4BC3">
            <w:pPr>
              <w:tabs>
                <w:tab w:val="left" w:pos="1089"/>
              </w:tabs>
              <w:jc w:val="center"/>
              <w:rPr>
                <w:rFonts w:ascii="Arial" w:hAnsi="Arial" w:cs="Arial"/>
              </w:rPr>
            </w:pPr>
            <w:r w:rsidRPr="00EE73F2">
              <w:rPr>
                <w:rFonts w:ascii="Arial" w:hAnsi="Arial" w:cs="Arial"/>
              </w:rPr>
              <w:t>No</w:t>
            </w:r>
          </w:p>
        </w:tc>
        <w:tc>
          <w:tcPr>
            <w:tcW w:w="2641" w:type="dxa"/>
            <w:vMerge w:val="restart"/>
          </w:tcPr>
          <w:p w:rsidR="004C5557" w:rsidRPr="00EE73F2" w:rsidRDefault="004C5557" w:rsidP="00BF4BC3">
            <w:pPr>
              <w:tabs>
                <w:tab w:val="left" w:pos="1089"/>
              </w:tabs>
              <w:jc w:val="center"/>
              <w:rPr>
                <w:rFonts w:ascii="Arial" w:hAnsi="Arial" w:cs="Arial"/>
              </w:rPr>
            </w:pPr>
            <w:r w:rsidRPr="00EE73F2">
              <w:rPr>
                <w:rFonts w:ascii="Arial" w:hAnsi="Arial" w:cs="Arial"/>
              </w:rPr>
              <w:t>INDIKATOR</w:t>
            </w:r>
          </w:p>
        </w:tc>
        <w:tc>
          <w:tcPr>
            <w:tcW w:w="2771" w:type="dxa"/>
            <w:gridSpan w:val="3"/>
          </w:tcPr>
          <w:p w:rsidR="004C5557" w:rsidRPr="00EE73F2" w:rsidRDefault="004C5557" w:rsidP="00BF4BC3">
            <w:pPr>
              <w:tabs>
                <w:tab w:val="left" w:pos="1089"/>
              </w:tabs>
              <w:jc w:val="center"/>
              <w:rPr>
                <w:rFonts w:ascii="Arial" w:hAnsi="Arial" w:cs="Arial"/>
              </w:rPr>
            </w:pPr>
            <w:r w:rsidRPr="00EE73F2">
              <w:rPr>
                <w:rFonts w:ascii="Arial" w:hAnsi="Arial" w:cs="Arial"/>
              </w:rPr>
              <w:t>PENCAPAIAN BULAN</w:t>
            </w:r>
          </w:p>
        </w:tc>
        <w:tc>
          <w:tcPr>
            <w:tcW w:w="992" w:type="dxa"/>
            <w:vMerge w:val="restart"/>
          </w:tcPr>
          <w:p w:rsidR="004C5557" w:rsidRPr="00EE73F2" w:rsidRDefault="004C5557" w:rsidP="00BF4BC3">
            <w:pPr>
              <w:tabs>
                <w:tab w:val="left" w:pos="1089"/>
              </w:tabs>
              <w:jc w:val="center"/>
              <w:rPr>
                <w:rFonts w:ascii="Arial" w:hAnsi="Arial" w:cs="Arial"/>
              </w:rPr>
            </w:pPr>
            <w:r w:rsidRPr="00EE73F2">
              <w:rPr>
                <w:rFonts w:ascii="Arial" w:hAnsi="Arial" w:cs="Arial"/>
              </w:rPr>
              <w:t>RATA-</w:t>
            </w:r>
          </w:p>
          <w:p w:rsidR="004C5557" w:rsidRPr="00EE73F2" w:rsidRDefault="004C5557" w:rsidP="00BF4BC3">
            <w:pPr>
              <w:tabs>
                <w:tab w:val="left" w:pos="1089"/>
              </w:tabs>
              <w:jc w:val="center"/>
              <w:rPr>
                <w:rFonts w:ascii="Arial" w:hAnsi="Arial" w:cs="Arial"/>
              </w:rPr>
            </w:pPr>
            <w:r w:rsidRPr="00EE73F2">
              <w:rPr>
                <w:rFonts w:ascii="Arial" w:hAnsi="Arial" w:cs="Arial"/>
              </w:rPr>
              <w:t>RATA</w:t>
            </w:r>
          </w:p>
        </w:tc>
        <w:tc>
          <w:tcPr>
            <w:tcW w:w="1134" w:type="dxa"/>
            <w:vMerge w:val="restart"/>
          </w:tcPr>
          <w:p w:rsidR="004C5557" w:rsidRPr="006D0231" w:rsidRDefault="004C5557" w:rsidP="00BF4BC3">
            <w:pPr>
              <w:tabs>
                <w:tab w:val="left" w:pos="1089"/>
              </w:tabs>
              <w:jc w:val="center"/>
              <w:rPr>
                <w:rFonts w:ascii="Arial" w:hAnsi="Arial" w:cs="Arial"/>
                <w:lang w:val="en-US"/>
              </w:rPr>
            </w:pPr>
            <w:proofErr w:type="spellStart"/>
            <w:r>
              <w:rPr>
                <w:rFonts w:ascii="Arial" w:hAnsi="Arial" w:cs="Arial"/>
                <w:lang w:val="en-US"/>
              </w:rPr>
              <w:t>Standart</w:t>
            </w:r>
            <w:proofErr w:type="spellEnd"/>
          </w:p>
        </w:tc>
        <w:tc>
          <w:tcPr>
            <w:tcW w:w="709" w:type="dxa"/>
            <w:vMerge w:val="restart"/>
          </w:tcPr>
          <w:p w:rsidR="004C5557" w:rsidRPr="009A148D" w:rsidRDefault="004C5557" w:rsidP="00BF4BC3">
            <w:pPr>
              <w:tabs>
                <w:tab w:val="left" w:pos="1089"/>
              </w:tabs>
              <w:jc w:val="center"/>
              <w:rPr>
                <w:rFonts w:ascii="Arial" w:hAnsi="Arial" w:cs="Arial"/>
                <w:lang w:val="en-US"/>
              </w:rPr>
            </w:pPr>
            <w:r>
              <w:rPr>
                <w:rFonts w:ascii="Arial" w:hAnsi="Arial" w:cs="Arial"/>
                <w:lang w:val="en-US"/>
              </w:rPr>
              <w:t>RTL</w:t>
            </w:r>
          </w:p>
        </w:tc>
      </w:tr>
      <w:tr w:rsidR="004C5557" w:rsidRPr="00EE73F2" w:rsidTr="00BF4BC3">
        <w:tc>
          <w:tcPr>
            <w:tcW w:w="508" w:type="dxa"/>
            <w:vMerge/>
          </w:tcPr>
          <w:p w:rsidR="004C5557" w:rsidRPr="00EE73F2" w:rsidRDefault="004C5557" w:rsidP="00BF4BC3">
            <w:pPr>
              <w:tabs>
                <w:tab w:val="left" w:pos="1089"/>
              </w:tabs>
              <w:jc w:val="center"/>
              <w:rPr>
                <w:rFonts w:ascii="Arial" w:hAnsi="Arial" w:cs="Arial"/>
              </w:rPr>
            </w:pPr>
          </w:p>
        </w:tc>
        <w:tc>
          <w:tcPr>
            <w:tcW w:w="2641" w:type="dxa"/>
            <w:vMerge/>
          </w:tcPr>
          <w:p w:rsidR="004C5557" w:rsidRPr="00EE73F2" w:rsidRDefault="004C5557" w:rsidP="00BF4BC3">
            <w:pPr>
              <w:tabs>
                <w:tab w:val="left" w:pos="1089"/>
              </w:tabs>
              <w:jc w:val="center"/>
              <w:rPr>
                <w:rFonts w:ascii="Arial" w:hAnsi="Arial" w:cs="Arial"/>
              </w:rPr>
            </w:pPr>
          </w:p>
        </w:tc>
        <w:tc>
          <w:tcPr>
            <w:tcW w:w="857" w:type="dxa"/>
          </w:tcPr>
          <w:p w:rsidR="004C5557" w:rsidRPr="00EE73F2" w:rsidRDefault="004C5557" w:rsidP="00BF4BC3">
            <w:pPr>
              <w:tabs>
                <w:tab w:val="left" w:pos="1089"/>
              </w:tabs>
              <w:jc w:val="center"/>
              <w:rPr>
                <w:rFonts w:ascii="Arial" w:hAnsi="Arial" w:cs="Arial"/>
              </w:rPr>
            </w:pPr>
            <w:r>
              <w:rPr>
                <w:rFonts w:ascii="Arial" w:hAnsi="Arial" w:cs="Arial"/>
              </w:rPr>
              <w:t>Okt</w:t>
            </w:r>
          </w:p>
        </w:tc>
        <w:tc>
          <w:tcPr>
            <w:tcW w:w="946" w:type="dxa"/>
          </w:tcPr>
          <w:p w:rsidR="004C5557" w:rsidRPr="00EE73F2" w:rsidRDefault="004C5557" w:rsidP="00BF4BC3">
            <w:pPr>
              <w:tabs>
                <w:tab w:val="left" w:pos="1089"/>
              </w:tabs>
              <w:jc w:val="center"/>
              <w:rPr>
                <w:rFonts w:ascii="Arial" w:hAnsi="Arial" w:cs="Arial"/>
              </w:rPr>
            </w:pPr>
            <w:r>
              <w:rPr>
                <w:rFonts w:ascii="Arial" w:hAnsi="Arial" w:cs="Arial"/>
              </w:rPr>
              <w:t>Nop</w:t>
            </w:r>
          </w:p>
        </w:tc>
        <w:tc>
          <w:tcPr>
            <w:tcW w:w="968" w:type="dxa"/>
          </w:tcPr>
          <w:p w:rsidR="004C5557" w:rsidRPr="00EE73F2" w:rsidRDefault="004C5557" w:rsidP="00BF4BC3">
            <w:pPr>
              <w:tabs>
                <w:tab w:val="left" w:pos="1089"/>
              </w:tabs>
              <w:jc w:val="center"/>
              <w:rPr>
                <w:rFonts w:ascii="Arial" w:hAnsi="Arial" w:cs="Arial"/>
              </w:rPr>
            </w:pPr>
            <w:r>
              <w:rPr>
                <w:rFonts w:ascii="Arial" w:hAnsi="Arial" w:cs="Arial"/>
              </w:rPr>
              <w:t>Des</w:t>
            </w:r>
          </w:p>
        </w:tc>
        <w:tc>
          <w:tcPr>
            <w:tcW w:w="992" w:type="dxa"/>
            <w:vMerge/>
          </w:tcPr>
          <w:p w:rsidR="004C5557" w:rsidRPr="00EE73F2" w:rsidRDefault="004C5557" w:rsidP="00BF4BC3">
            <w:pPr>
              <w:tabs>
                <w:tab w:val="left" w:pos="1089"/>
              </w:tabs>
              <w:jc w:val="center"/>
              <w:rPr>
                <w:rFonts w:ascii="Arial" w:hAnsi="Arial" w:cs="Arial"/>
              </w:rPr>
            </w:pPr>
          </w:p>
        </w:tc>
        <w:tc>
          <w:tcPr>
            <w:tcW w:w="1134" w:type="dxa"/>
            <w:vMerge/>
          </w:tcPr>
          <w:p w:rsidR="004C5557" w:rsidRPr="00EE73F2" w:rsidRDefault="004C5557" w:rsidP="00BF4BC3">
            <w:pPr>
              <w:tabs>
                <w:tab w:val="left" w:pos="1089"/>
              </w:tabs>
              <w:jc w:val="center"/>
              <w:rPr>
                <w:rFonts w:ascii="Arial" w:hAnsi="Arial" w:cs="Arial"/>
              </w:rPr>
            </w:pPr>
          </w:p>
        </w:tc>
        <w:tc>
          <w:tcPr>
            <w:tcW w:w="709" w:type="dxa"/>
            <w:vMerge/>
          </w:tcPr>
          <w:p w:rsidR="004C5557" w:rsidRPr="00EE73F2" w:rsidRDefault="004C5557" w:rsidP="00BF4BC3">
            <w:pPr>
              <w:tabs>
                <w:tab w:val="left" w:pos="1089"/>
              </w:tabs>
              <w:jc w:val="center"/>
              <w:rPr>
                <w:rFonts w:ascii="Arial" w:hAnsi="Arial" w:cs="Arial"/>
              </w:rPr>
            </w:pPr>
          </w:p>
        </w:tc>
      </w:tr>
      <w:tr w:rsidR="004C5557" w:rsidRPr="00EE73F2" w:rsidTr="00BF4BC3">
        <w:trPr>
          <w:trHeight w:val="1090"/>
        </w:trPr>
        <w:tc>
          <w:tcPr>
            <w:tcW w:w="508" w:type="dxa"/>
          </w:tcPr>
          <w:p w:rsidR="004C5557" w:rsidRPr="00EE73F2" w:rsidRDefault="004C5557" w:rsidP="00BF4BC3">
            <w:pPr>
              <w:tabs>
                <w:tab w:val="left" w:pos="1089"/>
              </w:tabs>
              <w:jc w:val="center"/>
              <w:rPr>
                <w:rFonts w:ascii="Arial" w:hAnsi="Arial" w:cs="Arial"/>
              </w:rPr>
            </w:pPr>
            <w:r w:rsidRPr="00EE73F2">
              <w:rPr>
                <w:rFonts w:ascii="Arial" w:hAnsi="Arial" w:cs="Arial"/>
              </w:rPr>
              <w:t>1</w:t>
            </w:r>
          </w:p>
        </w:tc>
        <w:tc>
          <w:tcPr>
            <w:tcW w:w="2641" w:type="dxa"/>
          </w:tcPr>
          <w:p w:rsidR="004C5557" w:rsidRPr="00EA01DA" w:rsidRDefault="004C5557" w:rsidP="00BF4BC3">
            <w:pPr>
              <w:pStyle w:val="ListParagraph"/>
              <w:spacing w:line="360" w:lineRule="auto"/>
              <w:ind w:left="145"/>
              <w:rPr>
                <w:rFonts w:ascii="Arial" w:hAnsi="Arial" w:cs="Arial"/>
                <w:lang w:val="id-ID"/>
              </w:rPr>
            </w:pPr>
            <w:r w:rsidRPr="0039446D">
              <w:rPr>
                <w:rFonts w:ascii="Arial" w:hAnsi="Arial" w:cs="Arial"/>
                <w:lang w:val="id-ID"/>
              </w:rPr>
              <w:t>Respon Time Pelayanan Streptokinase di unit Farmas</w:t>
            </w:r>
            <w:r>
              <w:rPr>
                <w:rFonts w:ascii="Arial" w:hAnsi="Arial" w:cs="Arial"/>
                <w:lang w:val="id-ID"/>
              </w:rPr>
              <w:t>i</w:t>
            </w:r>
          </w:p>
        </w:tc>
        <w:tc>
          <w:tcPr>
            <w:tcW w:w="857" w:type="dxa"/>
          </w:tcPr>
          <w:p w:rsidR="004C5557" w:rsidRDefault="004C5557" w:rsidP="00BF4BC3">
            <w:pPr>
              <w:jc w:val="center"/>
              <w:rPr>
                <w:color w:val="000000"/>
                <w:sz w:val="22"/>
                <w:szCs w:val="22"/>
              </w:rPr>
            </w:pPr>
            <w:r>
              <w:rPr>
                <w:color w:val="000000"/>
                <w:sz w:val="22"/>
                <w:szCs w:val="22"/>
              </w:rPr>
              <w:t>100</w:t>
            </w:r>
          </w:p>
        </w:tc>
        <w:tc>
          <w:tcPr>
            <w:tcW w:w="946" w:type="dxa"/>
          </w:tcPr>
          <w:p w:rsidR="004C5557" w:rsidRDefault="004C5557" w:rsidP="00BF4BC3">
            <w:pPr>
              <w:jc w:val="center"/>
              <w:rPr>
                <w:color w:val="000000"/>
                <w:sz w:val="22"/>
                <w:szCs w:val="22"/>
              </w:rPr>
            </w:pPr>
            <w:r>
              <w:rPr>
                <w:color w:val="000000"/>
                <w:sz w:val="22"/>
                <w:szCs w:val="22"/>
              </w:rPr>
              <w:t>100</w:t>
            </w:r>
          </w:p>
        </w:tc>
        <w:tc>
          <w:tcPr>
            <w:tcW w:w="968" w:type="dxa"/>
          </w:tcPr>
          <w:p w:rsidR="004C5557" w:rsidRDefault="004C5557" w:rsidP="00BF4BC3">
            <w:pPr>
              <w:jc w:val="center"/>
              <w:rPr>
                <w:color w:val="000000"/>
                <w:sz w:val="22"/>
                <w:szCs w:val="22"/>
              </w:rPr>
            </w:pPr>
            <w:r>
              <w:rPr>
                <w:color w:val="000000"/>
                <w:sz w:val="22"/>
                <w:szCs w:val="22"/>
              </w:rPr>
              <w:t>0</w:t>
            </w:r>
          </w:p>
        </w:tc>
        <w:tc>
          <w:tcPr>
            <w:tcW w:w="992" w:type="dxa"/>
          </w:tcPr>
          <w:p w:rsidR="004C5557" w:rsidRDefault="004C5557" w:rsidP="00BF4BC3">
            <w:pPr>
              <w:jc w:val="center"/>
              <w:rPr>
                <w:color w:val="000000"/>
                <w:sz w:val="22"/>
                <w:szCs w:val="22"/>
              </w:rPr>
            </w:pPr>
            <w:r>
              <w:rPr>
                <w:color w:val="000000"/>
                <w:sz w:val="22"/>
                <w:szCs w:val="22"/>
              </w:rPr>
              <w:t>100</w:t>
            </w:r>
          </w:p>
        </w:tc>
        <w:tc>
          <w:tcPr>
            <w:tcW w:w="1134" w:type="dxa"/>
          </w:tcPr>
          <w:p w:rsidR="004C5557" w:rsidRPr="00746CCD" w:rsidRDefault="004C5557" w:rsidP="00BF4BC3">
            <w:pPr>
              <w:tabs>
                <w:tab w:val="left" w:pos="1089"/>
              </w:tabs>
              <w:jc w:val="center"/>
              <w:rPr>
                <w:rFonts w:ascii="Arial" w:hAnsi="Arial" w:cs="Arial"/>
                <w:lang w:val="en-US"/>
              </w:rPr>
            </w:pPr>
            <w:r>
              <w:rPr>
                <w:rFonts w:ascii="Arial" w:hAnsi="Arial" w:cs="Arial"/>
                <w:lang w:val="en-US"/>
              </w:rPr>
              <w:t>90%</w:t>
            </w:r>
          </w:p>
        </w:tc>
        <w:tc>
          <w:tcPr>
            <w:tcW w:w="709" w:type="dxa"/>
          </w:tcPr>
          <w:p w:rsidR="004C5557" w:rsidRPr="00EE73F2" w:rsidRDefault="004C5557" w:rsidP="00BF4BC3">
            <w:pPr>
              <w:tabs>
                <w:tab w:val="left" w:pos="1089"/>
              </w:tabs>
              <w:jc w:val="center"/>
              <w:rPr>
                <w:rFonts w:ascii="Arial" w:hAnsi="Arial" w:cs="Arial"/>
              </w:rPr>
            </w:pPr>
          </w:p>
        </w:tc>
      </w:tr>
    </w:tbl>
    <w:p w:rsidR="004C5557" w:rsidRDefault="004C5557"/>
    <w:p w:rsidR="004C5557" w:rsidRDefault="004C5557"/>
    <w:p w:rsidR="004C5557" w:rsidRDefault="004C5557" w:rsidP="004C5557">
      <w:pPr>
        <w:spacing w:after="0"/>
        <w:jc w:val="center"/>
        <w:rPr>
          <w:rFonts w:ascii="Arial" w:hAnsi="Arial" w:cs="Arial"/>
          <w:b/>
          <w:sz w:val="24"/>
          <w:szCs w:val="24"/>
          <w:lang w:val="en-US"/>
        </w:rPr>
      </w:pPr>
      <w:r>
        <w:rPr>
          <w:rFonts w:ascii="Arial" w:hAnsi="Arial" w:cs="Arial"/>
          <w:b/>
          <w:sz w:val="24"/>
          <w:szCs w:val="24"/>
          <w:lang w:val="en-US"/>
        </w:rPr>
        <w:t>ANALISA DATA</w:t>
      </w:r>
    </w:p>
    <w:p w:rsidR="004C5557" w:rsidRDefault="004C5557" w:rsidP="004C5557">
      <w:pPr>
        <w:spacing w:after="0"/>
        <w:rPr>
          <w:rFonts w:ascii="Arial" w:hAnsi="Arial" w:cs="Arial"/>
          <w:b/>
          <w:sz w:val="24"/>
          <w:szCs w:val="24"/>
          <w:lang w:val="en-US"/>
        </w:rPr>
      </w:pPr>
      <w:proofErr w:type="spellStart"/>
      <w:r>
        <w:rPr>
          <w:rFonts w:ascii="Arial" w:hAnsi="Arial" w:cs="Arial"/>
          <w:b/>
          <w:sz w:val="24"/>
          <w:szCs w:val="24"/>
          <w:lang w:val="en-US"/>
        </w:rPr>
        <w:t>Indikator</w:t>
      </w:r>
      <w:proofErr w:type="spellEnd"/>
      <w:r>
        <w:rPr>
          <w:rFonts w:ascii="Arial" w:hAnsi="Arial" w:cs="Arial"/>
          <w:b/>
          <w:sz w:val="24"/>
          <w:szCs w:val="24"/>
          <w:lang w:val="en-US"/>
        </w:rPr>
        <w:t xml:space="preserve"> </w:t>
      </w:r>
      <w:proofErr w:type="spellStart"/>
      <w:r>
        <w:rPr>
          <w:rFonts w:ascii="Arial" w:hAnsi="Arial" w:cs="Arial"/>
          <w:b/>
          <w:sz w:val="24"/>
          <w:szCs w:val="24"/>
          <w:lang w:val="en-US"/>
        </w:rPr>
        <w:t>Mutu</w:t>
      </w:r>
      <w:proofErr w:type="spellEnd"/>
      <w:r>
        <w:rPr>
          <w:rFonts w:ascii="Arial" w:hAnsi="Arial" w:cs="Arial"/>
          <w:b/>
          <w:sz w:val="24"/>
          <w:szCs w:val="24"/>
          <w:lang w:val="en-US"/>
        </w:rPr>
        <w:t xml:space="preserve"> </w:t>
      </w:r>
      <w:proofErr w:type="spellStart"/>
      <w:r>
        <w:rPr>
          <w:rFonts w:ascii="Arial" w:hAnsi="Arial" w:cs="Arial"/>
          <w:b/>
          <w:sz w:val="24"/>
          <w:szCs w:val="24"/>
          <w:lang w:val="en-US"/>
        </w:rPr>
        <w:t>Nasional</w:t>
      </w:r>
      <w:proofErr w:type="spellEnd"/>
    </w:p>
    <w:p w:rsidR="004C5557" w:rsidRDefault="004C5557" w:rsidP="004C5557">
      <w:pPr>
        <w:spacing w:after="0"/>
        <w:rPr>
          <w:rFonts w:ascii="Arial" w:hAnsi="Arial" w:cs="Arial"/>
          <w:b/>
          <w:sz w:val="24"/>
          <w:szCs w:val="24"/>
        </w:rPr>
      </w:pPr>
    </w:p>
    <w:p w:rsidR="004C5557" w:rsidRPr="00D73622" w:rsidRDefault="004C5557" w:rsidP="004C5557">
      <w:pPr>
        <w:pStyle w:val="ListParagraph"/>
        <w:numPr>
          <w:ilvl w:val="0"/>
          <w:numId w:val="1"/>
        </w:numPr>
        <w:spacing w:after="0"/>
        <w:ind w:left="284"/>
        <w:rPr>
          <w:rFonts w:ascii="Arial" w:hAnsi="Arial" w:cs="Arial"/>
          <w:b/>
          <w:sz w:val="24"/>
          <w:szCs w:val="24"/>
        </w:rPr>
      </w:pPr>
      <w:r w:rsidRPr="00D73622">
        <w:rPr>
          <w:rFonts w:ascii="Arial" w:hAnsi="Arial" w:cs="Arial"/>
          <w:b/>
          <w:sz w:val="24"/>
          <w:szCs w:val="24"/>
        </w:rPr>
        <w:t xml:space="preserve">Emergency </w:t>
      </w:r>
      <w:proofErr w:type="spellStart"/>
      <w:r w:rsidRPr="00D73622">
        <w:rPr>
          <w:rFonts w:ascii="Arial" w:hAnsi="Arial" w:cs="Arial"/>
          <w:b/>
          <w:sz w:val="24"/>
          <w:szCs w:val="24"/>
        </w:rPr>
        <w:t>Respon</w:t>
      </w:r>
      <w:proofErr w:type="spellEnd"/>
      <w:r w:rsidRPr="00D73622">
        <w:rPr>
          <w:rFonts w:ascii="Arial" w:hAnsi="Arial" w:cs="Arial"/>
          <w:b/>
          <w:sz w:val="24"/>
          <w:szCs w:val="24"/>
        </w:rPr>
        <w:t xml:space="preserve"> Time</w:t>
      </w:r>
    </w:p>
    <w:p w:rsidR="004C5557" w:rsidRDefault="004C5557" w:rsidP="004C5557">
      <w:pPr>
        <w:spacing w:after="0"/>
        <w:rPr>
          <w:rFonts w:ascii="Arial" w:hAnsi="Arial" w:cs="Arial"/>
          <w:b/>
          <w:sz w:val="24"/>
          <w:szCs w:val="24"/>
          <w:lang w:val="en-US"/>
        </w:rPr>
      </w:pPr>
      <w:r>
        <w:rPr>
          <w:rFonts w:ascii="Arial" w:hAnsi="Arial" w:cs="Arial"/>
          <w:b/>
          <w:noProof/>
          <w:sz w:val="24"/>
          <w:szCs w:val="24"/>
          <w:lang w:eastAsia="id-ID"/>
        </w:rPr>
        <w:drawing>
          <wp:inline distT="0" distB="0" distL="0" distR="0">
            <wp:extent cx="5486400" cy="2076450"/>
            <wp:effectExtent l="19050" t="0" r="1905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C5557" w:rsidRPr="001936BB" w:rsidRDefault="004C5557" w:rsidP="004C5557">
      <w:pPr>
        <w:spacing w:after="0" w:line="360" w:lineRule="auto"/>
        <w:jc w:val="both"/>
        <w:rPr>
          <w:rFonts w:ascii="Arial" w:hAnsi="Arial" w:cs="Arial"/>
          <w:sz w:val="24"/>
          <w:szCs w:val="24"/>
          <w:lang w:val="en-US"/>
        </w:rPr>
      </w:pPr>
      <w:r>
        <w:rPr>
          <w:rFonts w:ascii="Arial" w:hAnsi="Arial" w:cs="Arial"/>
          <w:sz w:val="24"/>
          <w:szCs w:val="24"/>
        </w:rPr>
        <w:lastRenderedPageBreak/>
        <w:t>Indikator Emergency Respon Time adalah waktu tunggu pasien IGD dari jam datang, mulai dilakukan triage sampai mendapat pelayanan dokter, yaitu kurang dari 5 menit. Data di atas menunjukkan sudah sesuai dengan standart yang ditetapkan yaitu 100% walaupun pada bulan Nopember turun 1% tapi masih belum signifikan.  Rencana tindak lanjutnya adalah mempertahankan capaian.</w:t>
      </w:r>
    </w:p>
    <w:p w:rsidR="004C5557" w:rsidRDefault="004C5557" w:rsidP="004C5557">
      <w:pPr>
        <w:spacing w:after="0"/>
        <w:rPr>
          <w:rFonts w:ascii="Arial" w:hAnsi="Arial" w:cs="Arial"/>
          <w:b/>
          <w:sz w:val="24"/>
          <w:szCs w:val="24"/>
          <w:lang w:val="en-US"/>
        </w:rPr>
      </w:pPr>
    </w:p>
    <w:p w:rsidR="004C5557" w:rsidRDefault="004C5557" w:rsidP="004C5557">
      <w:pPr>
        <w:spacing w:after="0"/>
        <w:rPr>
          <w:rFonts w:ascii="Arial" w:hAnsi="Arial" w:cs="Arial"/>
          <w:b/>
          <w:sz w:val="24"/>
          <w:szCs w:val="24"/>
          <w:lang w:val="en-US"/>
        </w:rPr>
      </w:pPr>
      <w:r>
        <w:rPr>
          <w:rFonts w:ascii="Arial" w:hAnsi="Arial" w:cs="Arial"/>
          <w:b/>
          <w:sz w:val="24"/>
          <w:szCs w:val="24"/>
          <w:lang w:val="en-US"/>
        </w:rPr>
        <w:t xml:space="preserve">2. </w:t>
      </w:r>
      <w:proofErr w:type="spellStart"/>
      <w:r>
        <w:rPr>
          <w:rFonts w:ascii="Arial" w:hAnsi="Arial" w:cs="Arial"/>
          <w:b/>
          <w:sz w:val="24"/>
          <w:szCs w:val="24"/>
          <w:lang w:val="en-US"/>
        </w:rPr>
        <w:t>Penundaan</w:t>
      </w:r>
      <w:proofErr w:type="spellEnd"/>
      <w:r>
        <w:rPr>
          <w:rFonts w:ascii="Arial" w:hAnsi="Arial" w:cs="Arial"/>
          <w:b/>
          <w:sz w:val="24"/>
          <w:szCs w:val="24"/>
          <w:lang w:val="en-US"/>
        </w:rPr>
        <w:t xml:space="preserve"> </w:t>
      </w:r>
      <w:proofErr w:type="spellStart"/>
      <w:r>
        <w:rPr>
          <w:rFonts w:ascii="Arial" w:hAnsi="Arial" w:cs="Arial"/>
          <w:b/>
          <w:sz w:val="24"/>
          <w:szCs w:val="24"/>
          <w:lang w:val="en-US"/>
        </w:rPr>
        <w:t>Operasi</w:t>
      </w:r>
      <w:proofErr w:type="spellEnd"/>
      <w:r>
        <w:rPr>
          <w:rFonts w:ascii="Arial" w:hAnsi="Arial" w:cs="Arial"/>
          <w:b/>
          <w:sz w:val="24"/>
          <w:szCs w:val="24"/>
          <w:lang w:val="en-US"/>
        </w:rPr>
        <w:t xml:space="preserve"> </w:t>
      </w:r>
      <w:proofErr w:type="spellStart"/>
      <w:r>
        <w:rPr>
          <w:rFonts w:ascii="Arial" w:hAnsi="Arial" w:cs="Arial"/>
          <w:b/>
          <w:sz w:val="24"/>
          <w:szCs w:val="24"/>
          <w:lang w:val="en-US"/>
        </w:rPr>
        <w:t>Elektif</w:t>
      </w:r>
      <w:proofErr w:type="spellEnd"/>
    </w:p>
    <w:p w:rsidR="004C5557" w:rsidRPr="00BF79C1" w:rsidRDefault="004C5557" w:rsidP="004C5557">
      <w:pPr>
        <w:keepNext/>
        <w:spacing w:after="0"/>
      </w:pPr>
      <w:r>
        <w:rPr>
          <w:rFonts w:ascii="Arial" w:hAnsi="Arial" w:cs="Arial"/>
          <w:b/>
          <w:noProof/>
          <w:sz w:val="24"/>
          <w:szCs w:val="24"/>
          <w:lang w:eastAsia="id-ID"/>
        </w:rPr>
        <w:drawing>
          <wp:inline distT="0" distB="0" distL="0" distR="0">
            <wp:extent cx="5534025" cy="2257425"/>
            <wp:effectExtent l="19050" t="0" r="9525"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C5557" w:rsidRPr="0061642A" w:rsidRDefault="004C5557" w:rsidP="004C5557">
      <w:pPr>
        <w:spacing w:after="0" w:line="360" w:lineRule="auto"/>
        <w:jc w:val="both"/>
        <w:rPr>
          <w:rFonts w:ascii="Arial" w:hAnsi="Arial" w:cs="Arial"/>
          <w:sz w:val="24"/>
          <w:szCs w:val="24"/>
        </w:rPr>
      </w:pPr>
      <w:r>
        <w:rPr>
          <w:rFonts w:ascii="Arial" w:hAnsi="Arial" w:cs="Arial"/>
          <w:sz w:val="24"/>
          <w:szCs w:val="24"/>
        </w:rPr>
        <w:t xml:space="preserve">Indikator Penundaan Operasi Elektif </w:t>
      </w:r>
      <w:r w:rsidRPr="007F3B10">
        <w:rPr>
          <w:rFonts w:ascii="Arial" w:hAnsi="Arial" w:cs="Arial"/>
          <w:sz w:val="24"/>
          <w:szCs w:val="24"/>
        </w:rPr>
        <w:t xml:space="preserve"> adalah perubahan jadwal operasi yang</w:t>
      </w:r>
      <w:r>
        <w:rPr>
          <w:rFonts w:ascii="Arial" w:hAnsi="Arial" w:cs="Arial"/>
          <w:sz w:val="24"/>
          <w:szCs w:val="24"/>
        </w:rPr>
        <w:t xml:space="preserve"> direncanakan kecuali atas indikasi medis. Standarnya kurang dari 5%. Data di atas </w:t>
      </w:r>
      <w:r w:rsidRPr="007F3B10">
        <w:rPr>
          <w:rFonts w:ascii="Arial" w:hAnsi="Arial" w:cs="Arial"/>
          <w:sz w:val="24"/>
          <w:szCs w:val="24"/>
        </w:rPr>
        <w:t>.</w:t>
      </w:r>
      <w:r>
        <w:rPr>
          <w:rFonts w:ascii="Arial" w:hAnsi="Arial" w:cs="Arial"/>
          <w:sz w:val="24"/>
          <w:szCs w:val="24"/>
        </w:rPr>
        <w:t>menunjukkan pada bulan Oktober Nopember dan Desember sudah sesuai standart yaitu kurang dari 5%. Rencana tindak lanjutnya adalah mempertahankan capaian.</w:t>
      </w:r>
    </w:p>
    <w:p w:rsidR="004C5557" w:rsidRPr="00757730" w:rsidRDefault="004C5557" w:rsidP="004C5557">
      <w:pPr>
        <w:spacing w:after="0"/>
        <w:rPr>
          <w:rFonts w:ascii="Arial" w:hAnsi="Arial" w:cs="Arial"/>
          <w:b/>
          <w:sz w:val="24"/>
          <w:szCs w:val="24"/>
        </w:rPr>
      </w:pPr>
    </w:p>
    <w:p w:rsidR="004C5557" w:rsidRPr="00737422" w:rsidRDefault="004C5557" w:rsidP="004C5557">
      <w:pPr>
        <w:spacing w:after="0"/>
        <w:rPr>
          <w:rFonts w:ascii="Arial" w:hAnsi="Arial" w:cs="Arial"/>
          <w:b/>
          <w:sz w:val="24"/>
          <w:szCs w:val="24"/>
        </w:rPr>
      </w:pPr>
      <w:r>
        <w:rPr>
          <w:rFonts w:ascii="Arial" w:hAnsi="Arial" w:cs="Arial"/>
          <w:b/>
          <w:sz w:val="24"/>
          <w:szCs w:val="24"/>
          <w:lang w:val="en-US"/>
        </w:rPr>
        <w:t xml:space="preserve">3. </w:t>
      </w:r>
      <w:proofErr w:type="spellStart"/>
      <w:r>
        <w:rPr>
          <w:rFonts w:ascii="Arial" w:hAnsi="Arial" w:cs="Arial"/>
          <w:b/>
          <w:sz w:val="24"/>
          <w:szCs w:val="24"/>
          <w:lang w:val="en-US"/>
        </w:rPr>
        <w:t>Kepatuhan</w:t>
      </w:r>
      <w:proofErr w:type="spellEnd"/>
      <w:r>
        <w:rPr>
          <w:rFonts w:ascii="Arial" w:hAnsi="Arial" w:cs="Arial"/>
          <w:b/>
          <w:sz w:val="24"/>
          <w:szCs w:val="24"/>
          <w:lang w:val="en-US"/>
        </w:rPr>
        <w:t xml:space="preserve"> </w:t>
      </w:r>
      <w:proofErr w:type="spellStart"/>
      <w:r>
        <w:rPr>
          <w:rFonts w:ascii="Arial" w:hAnsi="Arial" w:cs="Arial"/>
          <w:b/>
          <w:sz w:val="24"/>
          <w:szCs w:val="24"/>
          <w:lang w:val="en-US"/>
        </w:rPr>
        <w:t>Penggunaan</w:t>
      </w:r>
      <w:proofErr w:type="spellEnd"/>
      <w:r>
        <w:rPr>
          <w:rFonts w:ascii="Arial" w:hAnsi="Arial" w:cs="Arial"/>
          <w:b/>
          <w:sz w:val="24"/>
          <w:szCs w:val="24"/>
          <w:lang w:val="en-US"/>
        </w:rPr>
        <w:t xml:space="preserve"> </w:t>
      </w:r>
      <w:proofErr w:type="spellStart"/>
      <w:r>
        <w:rPr>
          <w:rFonts w:ascii="Arial" w:hAnsi="Arial" w:cs="Arial"/>
          <w:b/>
          <w:sz w:val="24"/>
          <w:szCs w:val="24"/>
          <w:lang w:val="en-US"/>
        </w:rPr>
        <w:t>Formularium</w:t>
      </w:r>
      <w:proofErr w:type="spellEnd"/>
      <w:r>
        <w:rPr>
          <w:rFonts w:ascii="Arial" w:hAnsi="Arial" w:cs="Arial"/>
          <w:b/>
          <w:sz w:val="24"/>
          <w:szCs w:val="24"/>
          <w:lang w:val="en-US"/>
        </w:rPr>
        <w:t xml:space="preserve"> </w:t>
      </w:r>
      <w:proofErr w:type="spellStart"/>
      <w:r>
        <w:rPr>
          <w:rFonts w:ascii="Arial" w:hAnsi="Arial" w:cs="Arial"/>
          <w:b/>
          <w:sz w:val="24"/>
          <w:szCs w:val="24"/>
          <w:lang w:val="en-US"/>
        </w:rPr>
        <w:t>Nasional</w:t>
      </w:r>
      <w:proofErr w:type="spellEnd"/>
    </w:p>
    <w:p w:rsidR="004C5557" w:rsidRDefault="004C5557" w:rsidP="004C5557">
      <w:pPr>
        <w:spacing w:after="0"/>
        <w:rPr>
          <w:rFonts w:ascii="Arial" w:hAnsi="Arial" w:cs="Arial"/>
          <w:b/>
          <w:sz w:val="24"/>
          <w:szCs w:val="24"/>
          <w:lang w:val="en-US"/>
        </w:rPr>
      </w:pPr>
      <w:r>
        <w:rPr>
          <w:rFonts w:ascii="Arial" w:hAnsi="Arial" w:cs="Arial"/>
          <w:b/>
          <w:noProof/>
          <w:sz w:val="24"/>
          <w:szCs w:val="24"/>
          <w:lang w:eastAsia="id-ID"/>
        </w:rPr>
        <w:drawing>
          <wp:inline distT="0" distB="0" distL="0" distR="0">
            <wp:extent cx="5457825" cy="2371725"/>
            <wp:effectExtent l="19050" t="0" r="9525"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C5557" w:rsidRDefault="004C5557" w:rsidP="004C5557">
      <w:pPr>
        <w:spacing w:after="0"/>
        <w:rPr>
          <w:rFonts w:ascii="Arial" w:hAnsi="Arial" w:cs="Arial"/>
          <w:b/>
          <w:sz w:val="24"/>
          <w:szCs w:val="24"/>
          <w:lang w:val="en-US"/>
        </w:rPr>
      </w:pPr>
    </w:p>
    <w:p w:rsidR="004C5557" w:rsidRPr="001936BB" w:rsidRDefault="004C5557" w:rsidP="004C5557">
      <w:pPr>
        <w:spacing w:after="0" w:line="360" w:lineRule="auto"/>
        <w:jc w:val="both"/>
        <w:rPr>
          <w:rFonts w:ascii="Arial" w:hAnsi="Arial" w:cs="Arial"/>
          <w:sz w:val="24"/>
          <w:szCs w:val="24"/>
          <w:lang w:val="en-US"/>
        </w:rPr>
      </w:pPr>
      <w:r w:rsidRPr="007273B0">
        <w:rPr>
          <w:rFonts w:ascii="Arial" w:hAnsi="Arial" w:cs="Arial"/>
          <w:sz w:val="24"/>
          <w:szCs w:val="24"/>
        </w:rPr>
        <w:t>K</w:t>
      </w:r>
      <w:r>
        <w:rPr>
          <w:rFonts w:ascii="Arial" w:hAnsi="Arial" w:cs="Arial"/>
          <w:sz w:val="24"/>
          <w:szCs w:val="24"/>
        </w:rPr>
        <w:t>epatuhan penggunaan formularium nasional adalah k</w:t>
      </w:r>
      <w:r w:rsidRPr="007273B0">
        <w:rPr>
          <w:rFonts w:ascii="Arial" w:hAnsi="Arial" w:cs="Arial"/>
          <w:sz w:val="24"/>
          <w:szCs w:val="24"/>
        </w:rPr>
        <w:t>epatuhan dokter pemberi layanan dalam meresepkan obat yang telah disepakati dalam formularium nasional</w:t>
      </w:r>
      <w:r>
        <w:rPr>
          <w:sz w:val="20"/>
          <w:szCs w:val="20"/>
        </w:rPr>
        <w:t>.</w:t>
      </w:r>
      <w:r w:rsidRPr="007273B0">
        <w:rPr>
          <w:rFonts w:ascii="Arial" w:hAnsi="Arial" w:cs="Arial"/>
          <w:sz w:val="24"/>
          <w:szCs w:val="24"/>
        </w:rPr>
        <w:t xml:space="preserve"> Dari data di atas menunjukkan</w:t>
      </w:r>
      <w:r>
        <w:rPr>
          <w:rFonts w:ascii="Arial" w:hAnsi="Arial" w:cs="Arial"/>
          <w:sz w:val="24"/>
          <w:szCs w:val="24"/>
        </w:rPr>
        <w:t xml:space="preserve"> hasil capaian pada bulan Oktober Nopember </w:t>
      </w:r>
      <w:r>
        <w:rPr>
          <w:rFonts w:ascii="Arial" w:hAnsi="Arial" w:cs="Arial"/>
          <w:sz w:val="24"/>
          <w:szCs w:val="24"/>
        </w:rPr>
        <w:lastRenderedPageBreak/>
        <w:t>Desember sudah sesuai standart. Rencana tindak lanjutnya adalah mempertahankan capaian.</w:t>
      </w:r>
    </w:p>
    <w:p w:rsidR="004C5557" w:rsidRDefault="004C5557" w:rsidP="004C5557">
      <w:pPr>
        <w:spacing w:after="0"/>
        <w:rPr>
          <w:rFonts w:ascii="Arial" w:hAnsi="Arial" w:cs="Arial"/>
          <w:b/>
          <w:sz w:val="24"/>
          <w:szCs w:val="24"/>
        </w:rPr>
      </w:pPr>
    </w:p>
    <w:p w:rsidR="004C5557" w:rsidRPr="001936BB" w:rsidRDefault="004C5557" w:rsidP="004C5557">
      <w:pPr>
        <w:spacing w:after="0"/>
        <w:rPr>
          <w:rFonts w:ascii="Arial" w:hAnsi="Arial" w:cs="Arial"/>
          <w:b/>
          <w:sz w:val="24"/>
          <w:szCs w:val="24"/>
          <w:lang w:val="en-US"/>
        </w:rPr>
      </w:pPr>
      <w:r>
        <w:rPr>
          <w:rFonts w:ascii="Arial" w:hAnsi="Arial" w:cs="Arial"/>
          <w:b/>
          <w:sz w:val="24"/>
          <w:szCs w:val="24"/>
          <w:lang w:val="en-US"/>
        </w:rPr>
        <w:t xml:space="preserve">4. </w:t>
      </w:r>
      <w:proofErr w:type="spellStart"/>
      <w:r>
        <w:rPr>
          <w:rFonts w:ascii="Arial" w:hAnsi="Arial" w:cs="Arial"/>
          <w:b/>
          <w:sz w:val="24"/>
          <w:szCs w:val="24"/>
          <w:lang w:val="en-US"/>
        </w:rPr>
        <w:t>Kepatuhan</w:t>
      </w:r>
      <w:proofErr w:type="spellEnd"/>
      <w:r>
        <w:rPr>
          <w:rFonts w:ascii="Arial" w:hAnsi="Arial" w:cs="Arial"/>
          <w:b/>
          <w:sz w:val="24"/>
          <w:szCs w:val="24"/>
          <w:lang w:val="en-US"/>
        </w:rPr>
        <w:t xml:space="preserve"> </w:t>
      </w:r>
      <w:proofErr w:type="spellStart"/>
      <w:r>
        <w:rPr>
          <w:rFonts w:ascii="Arial" w:hAnsi="Arial" w:cs="Arial"/>
          <w:b/>
          <w:sz w:val="24"/>
          <w:szCs w:val="24"/>
          <w:lang w:val="en-US"/>
        </w:rPr>
        <w:t>Terhadap</w:t>
      </w:r>
      <w:proofErr w:type="spellEnd"/>
      <w:r>
        <w:rPr>
          <w:rFonts w:ascii="Arial" w:hAnsi="Arial" w:cs="Arial"/>
          <w:b/>
          <w:sz w:val="24"/>
          <w:szCs w:val="24"/>
          <w:lang w:val="en-US"/>
        </w:rPr>
        <w:t xml:space="preserve"> Clinical Pathway</w:t>
      </w:r>
    </w:p>
    <w:p w:rsidR="004C5557" w:rsidRDefault="004C5557" w:rsidP="004C5557">
      <w:pPr>
        <w:pStyle w:val="Caption"/>
        <w:keepNext/>
        <w:jc w:val="center"/>
      </w:pPr>
      <w:r>
        <w:rPr>
          <w:rFonts w:ascii="Arial" w:hAnsi="Arial" w:cs="Arial"/>
          <w:b w:val="0"/>
          <w:noProof/>
          <w:sz w:val="24"/>
          <w:szCs w:val="24"/>
          <w:lang w:eastAsia="id-ID"/>
        </w:rPr>
        <w:drawing>
          <wp:inline distT="0" distB="0" distL="0" distR="0">
            <wp:extent cx="5372100" cy="1990725"/>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C5557" w:rsidRPr="001936BB" w:rsidRDefault="004C5557" w:rsidP="004C5557">
      <w:pPr>
        <w:pStyle w:val="Caption"/>
        <w:spacing w:line="360" w:lineRule="auto"/>
        <w:jc w:val="both"/>
        <w:rPr>
          <w:rFonts w:ascii="Arial" w:hAnsi="Arial" w:cs="Arial"/>
          <w:b w:val="0"/>
          <w:color w:val="auto"/>
          <w:sz w:val="24"/>
          <w:szCs w:val="24"/>
          <w:lang w:val="en-US"/>
        </w:rPr>
      </w:pPr>
      <w:r w:rsidRPr="005C71DC">
        <w:rPr>
          <w:rFonts w:ascii="Arial" w:hAnsi="Arial" w:cs="Arial"/>
          <w:b w:val="0"/>
          <w:color w:val="auto"/>
          <w:sz w:val="24"/>
          <w:szCs w:val="24"/>
        </w:rPr>
        <w:t xml:space="preserve">Kepatuhan </w:t>
      </w:r>
      <w:r>
        <w:rPr>
          <w:rFonts w:ascii="Arial" w:hAnsi="Arial" w:cs="Arial"/>
          <w:b w:val="0"/>
          <w:color w:val="auto"/>
          <w:sz w:val="24"/>
          <w:szCs w:val="24"/>
        </w:rPr>
        <w:t xml:space="preserve">terhadap clinical pathway adalah </w:t>
      </w:r>
      <w:r w:rsidRPr="005C71DC">
        <w:rPr>
          <w:rFonts w:ascii="Arial" w:hAnsi="Arial" w:cs="Arial"/>
          <w:b w:val="0"/>
          <w:color w:val="auto"/>
          <w:sz w:val="24"/>
          <w:szCs w:val="24"/>
        </w:rPr>
        <w:t>kepatuhan para staf medis/ DPJP dalam menggunakan clinical pathway untuk memberikan asuhan klinis pasien secara terstandarisasi dan terintegrasi sehingga dapat meminimalkan adanya variasi proses asuhan klinis.</w:t>
      </w:r>
      <w:r>
        <w:rPr>
          <w:rFonts w:ascii="Arial" w:hAnsi="Arial" w:cs="Arial"/>
          <w:b w:val="0"/>
          <w:color w:val="auto"/>
          <w:sz w:val="24"/>
          <w:szCs w:val="24"/>
        </w:rPr>
        <w:t xml:space="preserve"> Hasil pengumpulan data menunjukkan pada bulan Oktober Clinical Pathway belum terkumpul, pada Bulan Nopember kepatuhan terhadap clinical pathway sudah sesuai standart yaitu di atas 80%. Rencana tindak lanjut adalah m</w:t>
      </w:r>
      <w:r w:rsidRPr="00573079">
        <w:rPr>
          <w:rFonts w:ascii="Arial" w:hAnsi="Arial" w:cs="Arial"/>
          <w:b w:val="0"/>
          <w:color w:val="auto"/>
          <w:sz w:val="24"/>
          <w:szCs w:val="24"/>
        </w:rPr>
        <w:t>ensosialisasikan ke unit pentingnya kepatuhan thd CP untuk menseragamkan asuhan pada pasien, karena bila asuhan kepada pasien seragam dan patuh pada CP, diharapkan pengeluaran untuk pasien bisa dikendalikan</w:t>
      </w:r>
      <w:r>
        <w:rPr>
          <w:rFonts w:ascii="Arial" w:hAnsi="Arial" w:cs="Arial"/>
          <w:b w:val="0"/>
          <w:color w:val="auto"/>
          <w:sz w:val="24"/>
          <w:szCs w:val="24"/>
        </w:rPr>
        <w:t>.</w:t>
      </w:r>
    </w:p>
    <w:p w:rsidR="004C5557" w:rsidRPr="00BA045E" w:rsidRDefault="004C5557" w:rsidP="004C5557">
      <w:pPr>
        <w:spacing w:after="0" w:line="360" w:lineRule="auto"/>
        <w:ind w:left="426" w:hanging="426"/>
        <w:rPr>
          <w:rFonts w:ascii="Arial" w:hAnsi="Arial" w:cs="Arial"/>
          <w:b/>
          <w:sz w:val="24"/>
          <w:szCs w:val="24"/>
        </w:rPr>
      </w:pPr>
    </w:p>
    <w:p w:rsidR="004C5557" w:rsidRDefault="00BA045E" w:rsidP="004C5557">
      <w:pPr>
        <w:spacing w:line="360" w:lineRule="auto"/>
        <w:jc w:val="both"/>
        <w:rPr>
          <w:rFonts w:ascii="Arial" w:hAnsi="Arial" w:cs="Arial"/>
          <w:lang w:val="en-US"/>
        </w:rPr>
      </w:pPr>
      <w:r>
        <w:rPr>
          <w:rFonts w:ascii="Arial" w:hAnsi="Arial" w:cs="Arial"/>
          <w:b/>
          <w:sz w:val="24"/>
          <w:szCs w:val="24"/>
        </w:rPr>
        <w:t xml:space="preserve">5. </w:t>
      </w:r>
      <w:r w:rsidR="004C5557" w:rsidRPr="009C1362">
        <w:rPr>
          <w:rFonts w:ascii="Arial" w:hAnsi="Arial" w:cs="Arial"/>
          <w:sz w:val="24"/>
          <w:szCs w:val="24"/>
        </w:rPr>
        <w:t>Waktu Tunggu Rawat Jalan</w:t>
      </w:r>
    </w:p>
    <w:p w:rsidR="004C5557" w:rsidRPr="006B3573" w:rsidRDefault="004C5557" w:rsidP="004C5557">
      <w:pPr>
        <w:spacing w:line="360" w:lineRule="auto"/>
        <w:jc w:val="both"/>
        <w:rPr>
          <w:rFonts w:ascii="Arial" w:hAnsi="Arial" w:cs="Arial"/>
          <w:lang w:val="en-US"/>
        </w:rPr>
      </w:pPr>
      <w:r>
        <w:rPr>
          <w:rFonts w:ascii="Arial" w:hAnsi="Arial" w:cs="Arial"/>
          <w:noProof/>
          <w:lang w:eastAsia="id-ID"/>
        </w:rPr>
        <w:drawing>
          <wp:inline distT="0" distB="0" distL="0" distR="0">
            <wp:extent cx="5467350" cy="2305050"/>
            <wp:effectExtent l="19050" t="0" r="1905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C5557" w:rsidRPr="005C2F48" w:rsidRDefault="004C5557" w:rsidP="004C5557">
      <w:pPr>
        <w:spacing w:after="0" w:line="360" w:lineRule="auto"/>
        <w:jc w:val="both"/>
        <w:rPr>
          <w:sz w:val="24"/>
          <w:szCs w:val="24"/>
          <w:lang w:val="en-US"/>
        </w:rPr>
      </w:pPr>
      <w:r w:rsidRPr="009C1362">
        <w:rPr>
          <w:rFonts w:ascii="Arial" w:hAnsi="Arial" w:cs="Arial"/>
          <w:sz w:val="24"/>
          <w:szCs w:val="24"/>
        </w:rPr>
        <w:lastRenderedPageBreak/>
        <w:t>W</w:t>
      </w:r>
      <w:r>
        <w:rPr>
          <w:rFonts w:ascii="Arial" w:hAnsi="Arial" w:cs="Arial"/>
          <w:sz w:val="24"/>
          <w:szCs w:val="24"/>
        </w:rPr>
        <w:t>aktu Tunggu Rawat Jalan adalah w</w:t>
      </w:r>
      <w:r w:rsidRPr="009C1362">
        <w:rPr>
          <w:rFonts w:ascii="Arial" w:hAnsi="Arial" w:cs="Arial"/>
          <w:sz w:val="24"/>
          <w:szCs w:val="24"/>
        </w:rPr>
        <w:t>aktu yang dibutuhkan pasien rawat jalan sejak mendaftar sampai menerima layanan dokter yaitu kurang dari 60 menit.</w:t>
      </w:r>
      <w:r>
        <w:rPr>
          <w:sz w:val="24"/>
          <w:szCs w:val="24"/>
          <w:lang w:val="en-US"/>
        </w:rPr>
        <w:t xml:space="preserve"> </w:t>
      </w:r>
      <w:r>
        <w:rPr>
          <w:rFonts w:ascii="Arial" w:hAnsi="Arial" w:cs="Arial"/>
          <w:sz w:val="24"/>
          <w:szCs w:val="24"/>
        </w:rPr>
        <w:t>Dari data di atas bisa diketahui waktu tunggu rawat jalan masih di atas 60 menit.</w:t>
      </w:r>
      <w:r>
        <w:rPr>
          <w:rFonts w:ascii="Arial" w:hAnsi="Arial" w:cs="Arial"/>
          <w:sz w:val="24"/>
          <w:szCs w:val="24"/>
          <w:lang w:val="en-US"/>
        </w:rPr>
        <w:t xml:space="preserve"> </w:t>
      </w:r>
      <w:proofErr w:type="spellStart"/>
      <w:proofErr w:type="gramStart"/>
      <w:r>
        <w:rPr>
          <w:rFonts w:ascii="Arial" w:hAnsi="Arial" w:cs="Arial"/>
          <w:sz w:val="24"/>
          <w:szCs w:val="24"/>
          <w:lang w:val="en-US"/>
        </w:rPr>
        <w:t>Rencana</w:t>
      </w:r>
      <w:proofErr w:type="spellEnd"/>
      <w:r>
        <w:rPr>
          <w:rFonts w:ascii="Arial" w:hAnsi="Arial" w:cs="Arial"/>
          <w:sz w:val="24"/>
          <w:szCs w:val="24"/>
          <w:lang w:val="en-US"/>
        </w:rPr>
        <w:t xml:space="preserve"> </w:t>
      </w:r>
      <w:proofErr w:type="spellStart"/>
      <w:r>
        <w:rPr>
          <w:rFonts w:ascii="Arial" w:hAnsi="Arial" w:cs="Arial"/>
          <w:sz w:val="24"/>
          <w:szCs w:val="24"/>
          <w:lang w:val="en-US"/>
        </w:rPr>
        <w:t>tindak</w:t>
      </w:r>
      <w:proofErr w:type="spellEnd"/>
      <w:r>
        <w:rPr>
          <w:rFonts w:ascii="Arial" w:hAnsi="Arial" w:cs="Arial"/>
          <w:sz w:val="24"/>
          <w:szCs w:val="24"/>
          <w:lang w:val="en-US"/>
        </w:rPr>
        <w:t xml:space="preserve"> </w:t>
      </w:r>
      <w:proofErr w:type="spellStart"/>
      <w:r>
        <w:rPr>
          <w:rFonts w:ascii="Arial" w:hAnsi="Arial" w:cs="Arial"/>
          <w:sz w:val="24"/>
          <w:szCs w:val="24"/>
          <w:lang w:val="en-US"/>
        </w:rPr>
        <w:t>lanjutnya</w:t>
      </w:r>
      <w:proofErr w:type="spellEnd"/>
      <w:r>
        <w:rPr>
          <w:rFonts w:ascii="Arial" w:hAnsi="Arial" w:cs="Arial"/>
          <w:sz w:val="24"/>
          <w:szCs w:val="24"/>
          <w:lang w:val="en-US"/>
        </w:rPr>
        <w:t xml:space="preserve"> </w:t>
      </w:r>
      <w:proofErr w:type="spellStart"/>
      <w:r>
        <w:rPr>
          <w:rFonts w:ascii="Arial" w:hAnsi="Arial" w:cs="Arial"/>
          <w:sz w:val="24"/>
          <w:szCs w:val="24"/>
          <w:lang w:val="en-US"/>
        </w:rPr>
        <w:t>adalah</w:t>
      </w:r>
      <w:proofErr w:type="spellEnd"/>
      <w:r>
        <w:rPr>
          <w:rFonts w:ascii="Arial" w:hAnsi="Arial" w:cs="Arial"/>
          <w:sz w:val="24"/>
          <w:szCs w:val="24"/>
          <w:lang w:val="en-US"/>
        </w:rPr>
        <w:t xml:space="preserve"> </w:t>
      </w:r>
      <w:proofErr w:type="spellStart"/>
      <w:r>
        <w:rPr>
          <w:rFonts w:ascii="Arial" w:hAnsi="Arial" w:cs="Arial"/>
          <w:sz w:val="24"/>
          <w:szCs w:val="24"/>
          <w:lang w:val="en-US"/>
        </w:rPr>
        <w:t>menganjurkan</w:t>
      </w:r>
      <w:proofErr w:type="spellEnd"/>
      <w:r>
        <w:rPr>
          <w:rFonts w:ascii="Arial" w:hAnsi="Arial" w:cs="Arial"/>
          <w:sz w:val="24"/>
          <w:szCs w:val="24"/>
          <w:lang w:val="en-US"/>
        </w:rPr>
        <w:t xml:space="preserve"> PPA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datang</w:t>
      </w:r>
      <w:proofErr w:type="spellEnd"/>
      <w:r>
        <w:rPr>
          <w:rFonts w:ascii="Arial" w:hAnsi="Arial" w:cs="Arial"/>
          <w:sz w:val="24"/>
          <w:szCs w:val="24"/>
          <w:lang w:val="en-US"/>
        </w:rPr>
        <w:t xml:space="preserve">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awal</w:t>
      </w:r>
      <w:proofErr w:type="spellEnd"/>
      <w:r>
        <w:rPr>
          <w:rFonts w:ascii="Arial" w:hAnsi="Arial" w:cs="Arial"/>
          <w:sz w:val="24"/>
          <w:szCs w:val="24"/>
          <w:lang w:val="en-US"/>
        </w:rPr>
        <w:t xml:space="preserve"> </w:t>
      </w:r>
      <w:proofErr w:type="spellStart"/>
      <w:r>
        <w:rPr>
          <w:rFonts w:ascii="Arial" w:hAnsi="Arial" w:cs="Arial"/>
          <w:sz w:val="24"/>
          <w:szCs w:val="24"/>
          <w:lang w:val="en-US"/>
        </w:rPr>
        <w:t>ke</w:t>
      </w:r>
      <w:proofErr w:type="spellEnd"/>
      <w:r>
        <w:rPr>
          <w:rFonts w:ascii="Arial" w:hAnsi="Arial" w:cs="Arial"/>
          <w:sz w:val="24"/>
          <w:szCs w:val="24"/>
          <w:lang w:val="en-US"/>
        </w:rPr>
        <w:t xml:space="preserve"> </w:t>
      </w:r>
      <w:proofErr w:type="spellStart"/>
      <w:r>
        <w:rPr>
          <w:rFonts w:ascii="Arial" w:hAnsi="Arial" w:cs="Arial"/>
          <w:sz w:val="24"/>
          <w:szCs w:val="24"/>
          <w:lang w:val="en-US"/>
        </w:rPr>
        <w:t>poli</w:t>
      </w:r>
      <w:proofErr w:type="spellEnd"/>
      <w:r>
        <w:rPr>
          <w:rFonts w:ascii="Arial" w:hAnsi="Arial" w:cs="Arial"/>
          <w:sz w:val="24"/>
          <w:szCs w:val="24"/>
          <w:lang w:val="en-US"/>
        </w:rPr>
        <w:t xml:space="preserve"> yang </w:t>
      </w:r>
      <w:proofErr w:type="spellStart"/>
      <w:r>
        <w:rPr>
          <w:rFonts w:ascii="Arial" w:hAnsi="Arial" w:cs="Arial"/>
          <w:sz w:val="24"/>
          <w:szCs w:val="24"/>
          <w:lang w:val="en-US"/>
        </w:rPr>
        <w:t>menjadi</w:t>
      </w:r>
      <w:proofErr w:type="spellEnd"/>
      <w:r>
        <w:rPr>
          <w:rFonts w:ascii="Arial" w:hAnsi="Arial" w:cs="Arial"/>
          <w:sz w:val="24"/>
          <w:szCs w:val="24"/>
          <w:lang w:val="en-US"/>
        </w:rPr>
        <w:t xml:space="preserve"> </w:t>
      </w:r>
      <w:proofErr w:type="spellStart"/>
      <w:r>
        <w:rPr>
          <w:rFonts w:ascii="Arial" w:hAnsi="Arial" w:cs="Arial"/>
          <w:sz w:val="24"/>
          <w:szCs w:val="24"/>
          <w:lang w:val="en-US"/>
        </w:rPr>
        <w:t>tanggung</w:t>
      </w:r>
      <w:proofErr w:type="spellEnd"/>
      <w:r>
        <w:rPr>
          <w:rFonts w:ascii="Arial" w:hAnsi="Arial" w:cs="Arial"/>
          <w:sz w:val="24"/>
          <w:szCs w:val="24"/>
          <w:lang w:val="en-US"/>
        </w:rPr>
        <w:t xml:space="preserve"> </w:t>
      </w:r>
      <w:proofErr w:type="spellStart"/>
      <w:r>
        <w:rPr>
          <w:rFonts w:ascii="Arial" w:hAnsi="Arial" w:cs="Arial"/>
          <w:sz w:val="24"/>
          <w:szCs w:val="24"/>
          <w:lang w:val="en-US"/>
        </w:rPr>
        <w:t>jawabnya</w:t>
      </w:r>
      <w:proofErr w:type="spellEnd"/>
      <w:r>
        <w:rPr>
          <w:rFonts w:ascii="Arial" w:hAnsi="Arial" w:cs="Arial"/>
          <w:sz w:val="24"/>
          <w:szCs w:val="24"/>
          <w:lang w:val="en-US"/>
        </w:rPr>
        <w:t>.</w:t>
      </w:r>
      <w:proofErr w:type="gramEnd"/>
    </w:p>
    <w:p w:rsidR="004C5557" w:rsidRPr="009C1362" w:rsidRDefault="00BA045E" w:rsidP="004C5557">
      <w:pPr>
        <w:spacing w:line="360" w:lineRule="auto"/>
        <w:jc w:val="both"/>
        <w:rPr>
          <w:rFonts w:ascii="Arial" w:hAnsi="Arial" w:cs="Arial"/>
          <w:sz w:val="24"/>
          <w:szCs w:val="24"/>
          <w:lang w:val="en-US"/>
        </w:rPr>
      </w:pPr>
      <w:r>
        <w:rPr>
          <w:rFonts w:ascii="Arial" w:hAnsi="Arial" w:cs="Arial"/>
          <w:sz w:val="24"/>
          <w:szCs w:val="24"/>
        </w:rPr>
        <w:t xml:space="preserve">6. </w:t>
      </w:r>
      <w:r w:rsidR="004C5557" w:rsidRPr="009C1362">
        <w:rPr>
          <w:rFonts w:ascii="Arial" w:hAnsi="Arial" w:cs="Arial"/>
          <w:sz w:val="24"/>
          <w:szCs w:val="24"/>
          <w:lang w:val="en-US"/>
        </w:rPr>
        <w:t xml:space="preserve"> </w:t>
      </w:r>
      <w:r w:rsidR="004C5557" w:rsidRPr="009C1362">
        <w:rPr>
          <w:rFonts w:ascii="Arial" w:hAnsi="Arial" w:cs="Arial"/>
          <w:sz w:val="24"/>
          <w:szCs w:val="24"/>
        </w:rPr>
        <w:t>Kepatuhan Jam Visite Dokter</w:t>
      </w:r>
    </w:p>
    <w:p w:rsidR="004C5557" w:rsidRPr="006B3573" w:rsidRDefault="004C5557" w:rsidP="004C5557">
      <w:pPr>
        <w:spacing w:line="360" w:lineRule="auto"/>
        <w:jc w:val="both"/>
        <w:rPr>
          <w:rFonts w:ascii="Arial" w:hAnsi="Arial" w:cs="Arial"/>
          <w:lang w:val="en-US"/>
        </w:rPr>
      </w:pPr>
      <w:r>
        <w:rPr>
          <w:rFonts w:ascii="Arial" w:hAnsi="Arial" w:cs="Arial"/>
          <w:noProof/>
          <w:lang w:eastAsia="id-ID"/>
        </w:rPr>
        <w:drawing>
          <wp:inline distT="0" distB="0" distL="0" distR="0">
            <wp:extent cx="5448300" cy="2228850"/>
            <wp:effectExtent l="19050" t="0" r="1905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C5557" w:rsidRPr="00D73622" w:rsidRDefault="004C5557" w:rsidP="004C5557">
      <w:pPr>
        <w:widowControl w:val="0"/>
        <w:suppressLineNumbers/>
        <w:suppressAutoHyphens/>
        <w:spacing w:line="360" w:lineRule="auto"/>
        <w:jc w:val="both"/>
        <w:rPr>
          <w:rFonts w:ascii="Arial" w:hAnsi="Arial" w:cs="Arial"/>
          <w:sz w:val="24"/>
          <w:szCs w:val="24"/>
        </w:rPr>
      </w:pPr>
      <w:r w:rsidRPr="00D73622">
        <w:rPr>
          <w:rFonts w:ascii="Arial" w:hAnsi="Arial" w:cs="Arial"/>
          <w:sz w:val="24"/>
          <w:szCs w:val="24"/>
        </w:rPr>
        <w:t xml:space="preserve">Kepatuhan Jam Visite Dokter adalah Kepatuhan Jam Visite Dokter Spesialis sebagai DPJP adalah kunjungan dokter spesialis untuk melihat perkembangan pasien yang menjadi tanggung jawabnya setiap hari sebelum jam 14.00 termasuk hari libur. Hasil pengumpulan data menunjukkan indikator kepatuhan terhadap jam visite mencapai 90% yaitu di atas standar yang 80 %. Rencana tindak lanjut </w:t>
      </w:r>
      <w:r>
        <w:rPr>
          <w:rFonts w:ascii="Arial" w:hAnsi="Arial" w:cs="Arial"/>
          <w:sz w:val="24"/>
          <w:szCs w:val="24"/>
        </w:rPr>
        <w:t>adalah mempertahankan capaian.</w:t>
      </w:r>
    </w:p>
    <w:p w:rsidR="004C5557" w:rsidRPr="008C0DCC" w:rsidRDefault="00BA045E" w:rsidP="004C5557">
      <w:pPr>
        <w:spacing w:line="360" w:lineRule="auto"/>
        <w:jc w:val="both"/>
        <w:rPr>
          <w:rFonts w:ascii="Arial" w:hAnsi="Arial" w:cs="Arial"/>
          <w:sz w:val="24"/>
          <w:szCs w:val="24"/>
          <w:lang w:val="en-US"/>
        </w:rPr>
      </w:pPr>
      <w:r>
        <w:rPr>
          <w:rFonts w:ascii="Arial" w:hAnsi="Arial" w:cs="Arial"/>
          <w:sz w:val="24"/>
          <w:szCs w:val="24"/>
        </w:rPr>
        <w:t xml:space="preserve">7. </w:t>
      </w:r>
      <w:r w:rsidR="004C5557" w:rsidRPr="008C0DCC">
        <w:rPr>
          <w:rFonts w:ascii="Arial" w:hAnsi="Arial" w:cs="Arial"/>
          <w:sz w:val="24"/>
          <w:szCs w:val="24"/>
        </w:rPr>
        <w:t>Kepuasan Pasien dan Keluarga</w:t>
      </w:r>
    </w:p>
    <w:p w:rsidR="004C5557" w:rsidRPr="000278BA" w:rsidRDefault="004C5557" w:rsidP="004C5557">
      <w:pPr>
        <w:spacing w:line="360" w:lineRule="auto"/>
        <w:jc w:val="both"/>
        <w:rPr>
          <w:rFonts w:ascii="Arial" w:hAnsi="Arial" w:cs="Arial"/>
          <w:lang w:val="en-US"/>
        </w:rPr>
      </w:pPr>
      <w:r>
        <w:rPr>
          <w:rFonts w:ascii="Arial" w:hAnsi="Arial" w:cs="Arial"/>
          <w:noProof/>
          <w:lang w:eastAsia="id-ID"/>
        </w:rPr>
        <w:drawing>
          <wp:inline distT="0" distB="0" distL="0" distR="0">
            <wp:extent cx="5448300" cy="2486025"/>
            <wp:effectExtent l="19050" t="0" r="1905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C5557" w:rsidRDefault="004C5557" w:rsidP="004C5557">
      <w:pPr>
        <w:spacing w:line="360" w:lineRule="auto"/>
        <w:jc w:val="both"/>
        <w:rPr>
          <w:rFonts w:ascii="Arial" w:hAnsi="Arial" w:cs="Arial"/>
          <w:sz w:val="24"/>
          <w:szCs w:val="24"/>
        </w:rPr>
      </w:pPr>
      <w:r w:rsidRPr="00E77F4B">
        <w:rPr>
          <w:rFonts w:ascii="Arial" w:hAnsi="Arial" w:cs="Arial"/>
          <w:sz w:val="24"/>
          <w:szCs w:val="24"/>
        </w:rPr>
        <w:lastRenderedPageBreak/>
        <w:t>Kepuasan Pasien dan Keluarga adalah</w:t>
      </w:r>
      <w:r>
        <w:rPr>
          <w:rFonts w:ascii="Arial" w:hAnsi="Arial" w:cs="Arial"/>
          <w:sz w:val="24"/>
          <w:szCs w:val="24"/>
        </w:rPr>
        <w:t xml:space="preserve"> </w:t>
      </w:r>
      <w:r w:rsidRPr="00E77F4B">
        <w:rPr>
          <w:rFonts w:ascii="Arial" w:eastAsia="Times New Roman" w:hAnsi="Arial" w:cs="Arial"/>
          <w:sz w:val="24"/>
          <w:szCs w:val="24"/>
          <w:lang w:eastAsia="id-ID"/>
        </w:rPr>
        <w:t>pernyataan tentang persepsi pelanggan terhadap jasa pelayanan kesehatan yang diberikan oleh RS</w:t>
      </w:r>
      <w:r w:rsidRPr="00E77F4B">
        <w:rPr>
          <w:rFonts w:ascii="Arial" w:eastAsia="Times New Roman" w:hAnsi="Arial" w:cs="Arial"/>
          <w:sz w:val="20"/>
          <w:szCs w:val="20"/>
          <w:lang w:eastAsia="id-ID"/>
        </w:rPr>
        <w:t>.</w:t>
      </w:r>
      <w:r w:rsidRPr="00E77F4B">
        <w:rPr>
          <w:rFonts w:ascii="Arial" w:eastAsia="Times New Roman" w:hAnsi="Arial" w:cs="Arial"/>
          <w:sz w:val="24"/>
          <w:szCs w:val="24"/>
          <w:lang w:eastAsia="id-ID"/>
        </w:rPr>
        <w:t>Kepuasan Pe</w:t>
      </w:r>
      <w:r>
        <w:rPr>
          <w:rFonts w:ascii="Arial" w:eastAsia="Times New Roman" w:hAnsi="Arial" w:cs="Arial"/>
          <w:sz w:val="24"/>
          <w:szCs w:val="24"/>
          <w:lang w:eastAsia="id-ID"/>
        </w:rPr>
        <w:t>langgan diukur berdasarkan IKM (Indeks Kepuasan Masyarakat). Data IKM yang dikumpulkan adalah per semester. Dari data di atas dapat diketahui bahwa sebagian besar kepuasan pasien/keluarga di rawat jalan, rawat inap dan IGD masih belum sesuai standart yaitu 80%, walaupun bila menurut standart IKM pelayanan di rawat jalan sudah masuk kategori baik yaitu diatas 76,7%. Rencana tindak lanjutnya adalah memperbaiki kualitas layanan.</w:t>
      </w:r>
    </w:p>
    <w:p w:rsidR="004C5557" w:rsidRPr="00093699" w:rsidRDefault="00BA045E" w:rsidP="004C5557">
      <w:pPr>
        <w:spacing w:line="360" w:lineRule="auto"/>
        <w:jc w:val="both"/>
        <w:rPr>
          <w:rFonts w:ascii="Arial" w:hAnsi="Arial" w:cs="Arial"/>
        </w:rPr>
      </w:pPr>
      <w:r>
        <w:rPr>
          <w:rFonts w:ascii="Arial" w:hAnsi="Arial" w:cs="Arial"/>
          <w:sz w:val="24"/>
          <w:szCs w:val="24"/>
        </w:rPr>
        <w:t xml:space="preserve">8. </w:t>
      </w:r>
      <w:r w:rsidR="004C5557" w:rsidRPr="00E77F4B">
        <w:rPr>
          <w:rFonts w:ascii="Arial" w:hAnsi="Arial" w:cs="Arial"/>
          <w:sz w:val="24"/>
          <w:szCs w:val="24"/>
        </w:rPr>
        <w:t>Kecepatan Respon Terhadap Komplain</w:t>
      </w:r>
    </w:p>
    <w:p w:rsidR="004C5557" w:rsidRPr="006B3573" w:rsidRDefault="004C5557" w:rsidP="004C5557">
      <w:pPr>
        <w:spacing w:line="360" w:lineRule="auto"/>
        <w:jc w:val="both"/>
        <w:rPr>
          <w:rFonts w:ascii="Arial" w:hAnsi="Arial" w:cs="Arial"/>
          <w:lang w:val="en-US"/>
        </w:rPr>
      </w:pPr>
      <w:r>
        <w:rPr>
          <w:rFonts w:ascii="Arial" w:hAnsi="Arial" w:cs="Arial"/>
          <w:noProof/>
          <w:lang w:eastAsia="id-ID"/>
        </w:rPr>
        <w:drawing>
          <wp:inline distT="0" distB="0" distL="0" distR="0">
            <wp:extent cx="5467350" cy="2085975"/>
            <wp:effectExtent l="19050" t="0" r="1905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C5557" w:rsidRDefault="004C5557" w:rsidP="004C5557">
      <w:pPr>
        <w:spacing w:line="360" w:lineRule="auto"/>
        <w:jc w:val="both"/>
        <w:rPr>
          <w:rFonts w:ascii="Arial" w:hAnsi="Arial" w:cs="Arial"/>
          <w:sz w:val="24"/>
          <w:szCs w:val="24"/>
        </w:rPr>
      </w:pPr>
      <w:r w:rsidRPr="00E77F4B">
        <w:rPr>
          <w:rFonts w:ascii="Arial" w:hAnsi="Arial" w:cs="Arial"/>
          <w:sz w:val="24"/>
          <w:szCs w:val="24"/>
        </w:rPr>
        <w:t>Kecepatan Respon terhadap Komplain adalah kecepatan Rumah sakit dalam menanggapi komplain baik tertulis, lisan atau melalui mass media yang sudah diidentifikasi tingkat risiko dan dampak risiko dengan penetapan grading/ dampak risiko berupa ekstrim (merah), Tinggi (kuning), Rendah (hijau), dan dibuktikan dengan data, dan tindak lanjut atas respon time komplain tersebut sesuai den</w:t>
      </w:r>
      <w:r>
        <w:rPr>
          <w:rFonts w:ascii="Arial" w:hAnsi="Arial" w:cs="Arial"/>
          <w:sz w:val="24"/>
          <w:szCs w:val="24"/>
        </w:rPr>
        <w:t xml:space="preserve">gan kategorisasi/grading/dampak </w:t>
      </w:r>
      <w:r w:rsidRPr="00E77F4B">
        <w:rPr>
          <w:rFonts w:ascii="Arial" w:hAnsi="Arial" w:cs="Arial"/>
          <w:sz w:val="24"/>
          <w:szCs w:val="24"/>
        </w:rPr>
        <w:t>risiko.</w:t>
      </w:r>
      <w:r>
        <w:rPr>
          <w:rFonts w:ascii="Arial" w:hAnsi="Arial" w:cs="Arial"/>
          <w:sz w:val="24"/>
          <w:szCs w:val="24"/>
        </w:rPr>
        <w:t xml:space="preserve"> Data di atas menunjukkan kecepatan respon terhadap komplain untuk semester 2 tahun 2019 sudah di atas standar yang ditetapkan yaitu 75%. Rencana tindak lanjutnya adalah mempertahankan capaian.</w:t>
      </w:r>
    </w:p>
    <w:p w:rsidR="00BA045E" w:rsidRDefault="00BA045E" w:rsidP="004C5557">
      <w:pPr>
        <w:spacing w:line="360" w:lineRule="auto"/>
        <w:jc w:val="both"/>
        <w:rPr>
          <w:rFonts w:ascii="Arial" w:hAnsi="Arial" w:cs="Arial"/>
          <w:sz w:val="24"/>
          <w:szCs w:val="24"/>
        </w:rPr>
      </w:pPr>
    </w:p>
    <w:p w:rsidR="00BA045E" w:rsidRDefault="00BA045E" w:rsidP="004C5557">
      <w:pPr>
        <w:spacing w:line="360" w:lineRule="auto"/>
        <w:jc w:val="both"/>
        <w:rPr>
          <w:rFonts w:ascii="Arial" w:hAnsi="Arial" w:cs="Arial"/>
          <w:sz w:val="24"/>
          <w:szCs w:val="24"/>
        </w:rPr>
      </w:pPr>
    </w:p>
    <w:p w:rsidR="00BA045E" w:rsidRDefault="00BA045E" w:rsidP="004C5557">
      <w:pPr>
        <w:spacing w:line="360" w:lineRule="auto"/>
        <w:jc w:val="both"/>
        <w:rPr>
          <w:rFonts w:ascii="Arial" w:hAnsi="Arial" w:cs="Arial"/>
          <w:sz w:val="24"/>
          <w:szCs w:val="24"/>
        </w:rPr>
      </w:pPr>
    </w:p>
    <w:p w:rsidR="00BA045E" w:rsidRPr="00BA045E" w:rsidRDefault="00BA045E" w:rsidP="004C5557">
      <w:pPr>
        <w:spacing w:line="360" w:lineRule="auto"/>
        <w:jc w:val="both"/>
        <w:rPr>
          <w:rFonts w:ascii="Arial" w:hAnsi="Arial" w:cs="Arial"/>
          <w:sz w:val="24"/>
          <w:szCs w:val="24"/>
        </w:rPr>
      </w:pPr>
    </w:p>
    <w:p w:rsidR="004C5557" w:rsidRPr="00E77F4B" w:rsidRDefault="00BA045E" w:rsidP="004C5557">
      <w:pPr>
        <w:spacing w:line="360" w:lineRule="auto"/>
        <w:jc w:val="both"/>
        <w:rPr>
          <w:rFonts w:ascii="Arial" w:hAnsi="Arial" w:cs="Arial"/>
          <w:sz w:val="24"/>
          <w:szCs w:val="24"/>
          <w:lang w:val="en-US"/>
        </w:rPr>
      </w:pPr>
      <w:r>
        <w:rPr>
          <w:rFonts w:ascii="Arial" w:hAnsi="Arial" w:cs="Arial"/>
          <w:sz w:val="24"/>
          <w:szCs w:val="24"/>
        </w:rPr>
        <w:lastRenderedPageBreak/>
        <w:t>9</w:t>
      </w:r>
      <w:r w:rsidR="004C5557" w:rsidRPr="00E77F4B">
        <w:rPr>
          <w:rFonts w:ascii="Arial" w:hAnsi="Arial" w:cs="Arial"/>
          <w:sz w:val="24"/>
          <w:szCs w:val="24"/>
          <w:lang w:val="en-US"/>
        </w:rPr>
        <w:t xml:space="preserve">. </w:t>
      </w:r>
      <w:proofErr w:type="spellStart"/>
      <w:r w:rsidR="004C5557" w:rsidRPr="00E77F4B">
        <w:rPr>
          <w:rFonts w:ascii="Arial" w:hAnsi="Arial" w:cs="Arial"/>
          <w:sz w:val="24"/>
          <w:szCs w:val="24"/>
          <w:lang w:val="en-US"/>
        </w:rPr>
        <w:t>Kepatuhan</w:t>
      </w:r>
      <w:proofErr w:type="spellEnd"/>
      <w:r w:rsidR="004C5557" w:rsidRPr="00E77F4B">
        <w:rPr>
          <w:rFonts w:ascii="Arial" w:hAnsi="Arial" w:cs="Arial"/>
          <w:sz w:val="24"/>
          <w:szCs w:val="24"/>
          <w:lang w:val="en-US"/>
        </w:rPr>
        <w:t xml:space="preserve"> </w:t>
      </w:r>
      <w:proofErr w:type="spellStart"/>
      <w:r w:rsidR="004C5557" w:rsidRPr="00E77F4B">
        <w:rPr>
          <w:rFonts w:ascii="Arial" w:hAnsi="Arial" w:cs="Arial"/>
          <w:sz w:val="24"/>
          <w:szCs w:val="24"/>
          <w:lang w:val="en-US"/>
        </w:rPr>
        <w:t>Cuci</w:t>
      </w:r>
      <w:proofErr w:type="spellEnd"/>
      <w:r w:rsidR="004C5557" w:rsidRPr="00E77F4B">
        <w:rPr>
          <w:rFonts w:ascii="Arial" w:hAnsi="Arial" w:cs="Arial"/>
          <w:sz w:val="24"/>
          <w:szCs w:val="24"/>
          <w:lang w:val="en-US"/>
        </w:rPr>
        <w:t xml:space="preserve"> </w:t>
      </w:r>
      <w:proofErr w:type="spellStart"/>
      <w:r w:rsidR="004C5557" w:rsidRPr="00E77F4B">
        <w:rPr>
          <w:rFonts w:ascii="Arial" w:hAnsi="Arial" w:cs="Arial"/>
          <w:sz w:val="24"/>
          <w:szCs w:val="24"/>
          <w:lang w:val="en-US"/>
        </w:rPr>
        <w:t>Tangan</w:t>
      </w:r>
      <w:proofErr w:type="spellEnd"/>
    </w:p>
    <w:p w:rsidR="004C5557" w:rsidRDefault="004C5557" w:rsidP="004C5557">
      <w:pPr>
        <w:spacing w:line="360" w:lineRule="auto"/>
        <w:jc w:val="both"/>
        <w:rPr>
          <w:rFonts w:ascii="Arial" w:hAnsi="Arial" w:cs="Arial"/>
          <w:lang w:val="en-US"/>
        </w:rPr>
      </w:pPr>
      <w:r>
        <w:rPr>
          <w:rFonts w:ascii="Arial" w:hAnsi="Arial" w:cs="Arial"/>
          <w:noProof/>
          <w:lang w:eastAsia="id-ID"/>
        </w:rPr>
        <w:drawing>
          <wp:inline distT="0" distB="0" distL="0" distR="0">
            <wp:extent cx="5467350" cy="1981200"/>
            <wp:effectExtent l="19050" t="0" r="1905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C5557" w:rsidRDefault="004C5557" w:rsidP="004C5557">
      <w:pPr>
        <w:spacing w:line="360" w:lineRule="auto"/>
        <w:jc w:val="both"/>
        <w:rPr>
          <w:rFonts w:ascii="Arial" w:hAnsi="Arial" w:cs="Arial"/>
          <w:sz w:val="24"/>
          <w:szCs w:val="24"/>
        </w:rPr>
      </w:pPr>
      <w:r>
        <w:rPr>
          <w:rFonts w:ascii="Arial" w:hAnsi="Arial" w:cs="Arial"/>
          <w:sz w:val="24"/>
          <w:szCs w:val="24"/>
        </w:rPr>
        <w:t xml:space="preserve">Kepatuhan cuci tangan </w:t>
      </w:r>
      <w:r w:rsidRPr="00A759D0">
        <w:rPr>
          <w:rFonts w:ascii="Arial" w:hAnsi="Arial" w:cs="Arial"/>
          <w:sz w:val="24"/>
          <w:szCs w:val="24"/>
        </w:rPr>
        <w:t xml:space="preserve"> adalah </w:t>
      </w:r>
      <w:r w:rsidRPr="00A759D0">
        <w:rPr>
          <w:rFonts w:ascii="Arial" w:eastAsia="Times New Roman" w:hAnsi="Arial" w:cs="Arial"/>
          <w:sz w:val="24"/>
          <w:szCs w:val="24"/>
          <w:lang w:eastAsia="id-ID"/>
        </w:rPr>
        <w:t>segala usaha yang dilakukan untuk membersihkan kotoran yang secara kasat mata terlihat dan pengangkatan mikroorganisme yang tinggal sementara di tangan dengan menggunakan sabun dan air mengalir (</w:t>
      </w:r>
      <w:r w:rsidRPr="00A759D0">
        <w:rPr>
          <w:rFonts w:ascii="Arial" w:eastAsia="Times New Roman" w:hAnsi="Arial" w:cs="Arial"/>
          <w:i/>
          <w:iCs/>
          <w:sz w:val="24"/>
          <w:szCs w:val="24"/>
          <w:lang w:eastAsia="id-ID"/>
        </w:rPr>
        <w:t>hand wash</w:t>
      </w:r>
      <w:r w:rsidRPr="00A759D0">
        <w:rPr>
          <w:rFonts w:ascii="Arial" w:eastAsia="Times New Roman" w:hAnsi="Arial" w:cs="Arial"/>
          <w:sz w:val="24"/>
          <w:szCs w:val="24"/>
          <w:lang w:eastAsia="id-ID"/>
        </w:rPr>
        <w:t>) atau dengan cairan berbasis alkohol (</w:t>
      </w:r>
      <w:r w:rsidRPr="00A759D0">
        <w:rPr>
          <w:rFonts w:ascii="Arial" w:eastAsia="Times New Roman" w:hAnsi="Arial" w:cs="Arial"/>
          <w:i/>
          <w:iCs/>
          <w:sz w:val="24"/>
          <w:szCs w:val="24"/>
          <w:lang w:eastAsia="id-ID"/>
        </w:rPr>
        <w:t>handrub</w:t>
      </w:r>
      <w:r w:rsidRPr="00A759D0">
        <w:rPr>
          <w:rFonts w:ascii="Arial" w:eastAsia="Times New Roman" w:hAnsi="Arial" w:cs="Arial"/>
          <w:sz w:val="24"/>
          <w:szCs w:val="24"/>
          <w:lang w:eastAsia="id-ID"/>
        </w:rPr>
        <w:t>) dalam 6 langkah (WHO,2009)</w:t>
      </w:r>
      <w:r>
        <w:rPr>
          <w:rFonts w:ascii="Arial" w:eastAsia="Times New Roman" w:hAnsi="Arial" w:cs="Arial"/>
          <w:sz w:val="24"/>
          <w:szCs w:val="24"/>
          <w:lang w:eastAsia="id-ID"/>
        </w:rPr>
        <w:t>. Hasil Pengumpulan data menunjukkan kepatuhan cuci tangan masih di bawah standart yang 85%. Hal tersebut dimungkinkan karena belum ada kesadaran secara menyeluruh dari PPA akan pentingnya cuci tangan selain itu fasilitas untuk keperluan handhygiene belum terpenuhi, harusnya ada handrub di setiap tempat tidur pasien. Rencana tindak lanjutnya adalah melakukan sosialisasi secara menyeluruh tentang pentingnya cuci tangan bagi PPA bila perlu mengadakan inhouse training bagi seluruh PPA tentang cuci tangan, dan menyediakan handrub untuk setiap tempat tidur pasien.</w:t>
      </w:r>
    </w:p>
    <w:p w:rsidR="004C5557" w:rsidRPr="00A759D0" w:rsidRDefault="00BA045E" w:rsidP="004C5557">
      <w:pPr>
        <w:spacing w:line="360" w:lineRule="auto"/>
        <w:jc w:val="both"/>
        <w:rPr>
          <w:rFonts w:ascii="Arial" w:hAnsi="Arial" w:cs="Arial"/>
          <w:sz w:val="24"/>
          <w:szCs w:val="24"/>
          <w:lang w:val="en-US"/>
        </w:rPr>
      </w:pPr>
      <w:r>
        <w:rPr>
          <w:rFonts w:ascii="Arial" w:hAnsi="Arial" w:cs="Arial"/>
          <w:sz w:val="24"/>
          <w:szCs w:val="24"/>
        </w:rPr>
        <w:t>10</w:t>
      </w:r>
      <w:r w:rsidR="004C5557" w:rsidRPr="00A759D0">
        <w:rPr>
          <w:rFonts w:ascii="Arial" w:hAnsi="Arial" w:cs="Arial"/>
          <w:sz w:val="24"/>
          <w:szCs w:val="24"/>
          <w:lang w:val="en-US"/>
        </w:rPr>
        <w:t xml:space="preserve">. </w:t>
      </w:r>
      <w:proofErr w:type="spellStart"/>
      <w:r w:rsidR="004C5557" w:rsidRPr="00A759D0">
        <w:rPr>
          <w:rFonts w:ascii="Arial" w:hAnsi="Arial" w:cs="Arial"/>
          <w:sz w:val="24"/>
          <w:szCs w:val="24"/>
          <w:lang w:val="en-US"/>
        </w:rPr>
        <w:t>Kepatuhan</w:t>
      </w:r>
      <w:proofErr w:type="spellEnd"/>
      <w:r w:rsidR="004C5557" w:rsidRPr="00A759D0">
        <w:rPr>
          <w:rFonts w:ascii="Arial" w:hAnsi="Arial" w:cs="Arial"/>
          <w:sz w:val="24"/>
          <w:szCs w:val="24"/>
          <w:lang w:val="en-US"/>
        </w:rPr>
        <w:t xml:space="preserve"> </w:t>
      </w:r>
      <w:proofErr w:type="spellStart"/>
      <w:r w:rsidR="004C5557" w:rsidRPr="00A759D0">
        <w:rPr>
          <w:rFonts w:ascii="Arial" w:hAnsi="Arial" w:cs="Arial"/>
          <w:sz w:val="24"/>
          <w:szCs w:val="24"/>
          <w:lang w:val="en-US"/>
        </w:rPr>
        <w:t>Upaya</w:t>
      </w:r>
      <w:proofErr w:type="spellEnd"/>
      <w:r w:rsidR="004C5557" w:rsidRPr="00A759D0">
        <w:rPr>
          <w:rFonts w:ascii="Arial" w:hAnsi="Arial" w:cs="Arial"/>
          <w:sz w:val="24"/>
          <w:szCs w:val="24"/>
          <w:lang w:val="en-US"/>
        </w:rPr>
        <w:t xml:space="preserve"> </w:t>
      </w:r>
      <w:proofErr w:type="spellStart"/>
      <w:r w:rsidR="004C5557" w:rsidRPr="00A759D0">
        <w:rPr>
          <w:rFonts w:ascii="Arial" w:hAnsi="Arial" w:cs="Arial"/>
          <w:sz w:val="24"/>
          <w:szCs w:val="24"/>
          <w:lang w:val="en-US"/>
        </w:rPr>
        <w:t>Pencegahan</w:t>
      </w:r>
      <w:proofErr w:type="spellEnd"/>
      <w:r w:rsidR="004C5557" w:rsidRPr="00A759D0">
        <w:rPr>
          <w:rFonts w:ascii="Arial" w:hAnsi="Arial" w:cs="Arial"/>
          <w:sz w:val="24"/>
          <w:szCs w:val="24"/>
          <w:lang w:val="en-US"/>
        </w:rPr>
        <w:t xml:space="preserve"> </w:t>
      </w:r>
      <w:proofErr w:type="spellStart"/>
      <w:r w:rsidR="004C5557" w:rsidRPr="00A759D0">
        <w:rPr>
          <w:rFonts w:ascii="Arial" w:hAnsi="Arial" w:cs="Arial"/>
          <w:sz w:val="24"/>
          <w:szCs w:val="24"/>
          <w:lang w:val="en-US"/>
        </w:rPr>
        <w:t>Resiko</w:t>
      </w:r>
      <w:proofErr w:type="spellEnd"/>
      <w:r w:rsidR="004C5557" w:rsidRPr="00A759D0">
        <w:rPr>
          <w:rFonts w:ascii="Arial" w:hAnsi="Arial" w:cs="Arial"/>
          <w:sz w:val="24"/>
          <w:szCs w:val="24"/>
          <w:lang w:val="en-US"/>
        </w:rPr>
        <w:t xml:space="preserve"> </w:t>
      </w:r>
      <w:proofErr w:type="spellStart"/>
      <w:r w:rsidR="004C5557" w:rsidRPr="00A759D0">
        <w:rPr>
          <w:rFonts w:ascii="Arial" w:hAnsi="Arial" w:cs="Arial"/>
          <w:sz w:val="24"/>
          <w:szCs w:val="24"/>
          <w:lang w:val="en-US"/>
        </w:rPr>
        <w:t>Jatuh</w:t>
      </w:r>
      <w:proofErr w:type="spellEnd"/>
    </w:p>
    <w:p w:rsidR="004C5557" w:rsidRPr="00A759D0" w:rsidRDefault="004C5557" w:rsidP="004C5557">
      <w:pPr>
        <w:spacing w:line="360" w:lineRule="auto"/>
        <w:jc w:val="both"/>
        <w:rPr>
          <w:rFonts w:ascii="Arial" w:hAnsi="Arial" w:cs="Arial"/>
          <w:sz w:val="24"/>
          <w:szCs w:val="24"/>
          <w:lang w:val="en-US"/>
        </w:rPr>
      </w:pPr>
      <w:r w:rsidRPr="00A759D0">
        <w:rPr>
          <w:rFonts w:ascii="Arial" w:hAnsi="Arial" w:cs="Arial"/>
          <w:noProof/>
          <w:sz w:val="24"/>
          <w:szCs w:val="24"/>
          <w:lang w:eastAsia="id-ID"/>
        </w:rPr>
        <w:drawing>
          <wp:inline distT="0" distB="0" distL="0" distR="0">
            <wp:extent cx="5505450" cy="2143125"/>
            <wp:effectExtent l="19050" t="0" r="1905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C5557" w:rsidRDefault="004C5557" w:rsidP="004C5557">
      <w:pPr>
        <w:spacing w:after="0" w:line="360" w:lineRule="auto"/>
        <w:jc w:val="both"/>
        <w:rPr>
          <w:rFonts w:ascii="Arial" w:eastAsia="Times New Roman" w:hAnsi="Arial" w:cs="Arial"/>
          <w:sz w:val="24"/>
          <w:szCs w:val="24"/>
          <w:lang w:eastAsia="id-ID"/>
        </w:rPr>
      </w:pPr>
      <w:r w:rsidRPr="00A759D0">
        <w:rPr>
          <w:rFonts w:ascii="Arial" w:hAnsi="Arial" w:cs="Arial"/>
          <w:sz w:val="24"/>
          <w:szCs w:val="24"/>
        </w:rPr>
        <w:lastRenderedPageBreak/>
        <w:t xml:space="preserve">Kepatuhan Terhadap Upaya Resiko Jatuh adalah </w:t>
      </w:r>
      <w:r w:rsidRPr="00A759D0">
        <w:rPr>
          <w:rFonts w:ascii="Arial" w:eastAsia="Times New Roman" w:hAnsi="Arial" w:cs="Arial"/>
          <w:sz w:val="24"/>
          <w:szCs w:val="24"/>
          <w:lang w:eastAsia="id-ID"/>
        </w:rPr>
        <w:t>tindakan terencana yang dilakukan pada pasien yang masuk rumah sakit untuk mengetahui pasien yang beresiko jatuh berdasarkan skala morse dan skala humpty dumpty.</w:t>
      </w:r>
      <w:r>
        <w:rPr>
          <w:rFonts w:ascii="Arial" w:eastAsia="Times New Roman" w:hAnsi="Arial" w:cs="Arial"/>
          <w:sz w:val="24"/>
          <w:szCs w:val="24"/>
          <w:lang w:eastAsia="id-ID"/>
        </w:rPr>
        <w:t xml:space="preserve"> </w:t>
      </w:r>
      <w:r>
        <w:rPr>
          <w:rFonts w:ascii="Arial" w:eastAsia="Times New Roman" w:hAnsi="Arial" w:cs="Arial"/>
          <w:sz w:val="24"/>
          <w:szCs w:val="24"/>
          <w:lang w:val="en-US" w:eastAsia="id-ID"/>
        </w:rPr>
        <w:t xml:space="preserve">Data yang </w:t>
      </w:r>
      <w:proofErr w:type="spellStart"/>
      <w:r>
        <w:rPr>
          <w:rFonts w:ascii="Arial" w:eastAsia="Times New Roman" w:hAnsi="Arial" w:cs="Arial"/>
          <w:sz w:val="24"/>
          <w:szCs w:val="24"/>
          <w:lang w:val="en-US" w:eastAsia="id-ID"/>
        </w:rPr>
        <w:t>didapat</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menunjukkan</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kepatuhan</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terhadap</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upaya</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resiko</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jatuh</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terus</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mengalami</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peningkatan</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hingga</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pada</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bulan</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Desember</w:t>
      </w:r>
      <w:proofErr w:type="spellEnd"/>
      <w:r>
        <w:rPr>
          <w:rFonts w:ascii="Arial" w:eastAsia="Times New Roman" w:hAnsi="Arial" w:cs="Arial"/>
          <w:sz w:val="24"/>
          <w:szCs w:val="24"/>
          <w:lang w:val="en-US" w:eastAsia="id-ID"/>
        </w:rPr>
        <w:t xml:space="preserve"> </w:t>
      </w:r>
      <w:proofErr w:type="spellStart"/>
      <w:proofErr w:type="gramStart"/>
      <w:r>
        <w:rPr>
          <w:rFonts w:ascii="Arial" w:eastAsia="Times New Roman" w:hAnsi="Arial" w:cs="Arial"/>
          <w:sz w:val="24"/>
          <w:szCs w:val="24"/>
          <w:lang w:val="en-US" w:eastAsia="id-ID"/>
        </w:rPr>
        <w:t>mencapai</w:t>
      </w:r>
      <w:proofErr w:type="spellEnd"/>
      <w:r>
        <w:rPr>
          <w:rFonts w:ascii="Arial" w:eastAsia="Times New Roman" w:hAnsi="Arial" w:cs="Arial"/>
          <w:sz w:val="24"/>
          <w:szCs w:val="24"/>
          <w:lang w:val="en-US" w:eastAsia="id-ID"/>
        </w:rPr>
        <w:t xml:space="preserve"> </w:t>
      </w:r>
      <w:r>
        <w:rPr>
          <w:rFonts w:ascii="Arial" w:eastAsia="Times New Roman" w:hAnsi="Arial" w:cs="Arial"/>
          <w:sz w:val="24"/>
          <w:szCs w:val="24"/>
          <w:lang w:eastAsia="id-ID"/>
        </w:rPr>
        <w:t xml:space="preserve"> </w:t>
      </w:r>
      <w:r>
        <w:rPr>
          <w:rFonts w:ascii="Arial" w:eastAsia="Times New Roman" w:hAnsi="Arial" w:cs="Arial"/>
          <w:sz w:val="24"/>
          <w:szCs w:val="24"/>
          <w:lang w:val="en-US" w:eastAsia="id-ID"/>
        </w:rPr>
        <w:t>91</w:t>
      </w:r>
      <w:proofErr w:type="gram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namun</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masih</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dibawah</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standart</w:t>
      </w:r>
      <w:proofErr w:type="spellEnd"/>
      <w:r>
        <w:rPr>
          <w:rFonts w:ascii="Arial" w:eastAsia="Times New Roman" w:hAnsi="Arial" w:cs="Arial"/>
          <w:sz w:val="24"/>
          <w:szCs w:val="24"/>
          <w:lang w:val="en-US" w:eastAsia="id-ID"/>
        </w:rPr>
        <w:t>.</w:t>
      </w:r>
    </w:p>
    <w:p w:rsidR="004C5557" w:rsidRDefault="004C5557" w:rsidP="004C5557">
      <w:pPr>
        <w:spacing w:after="0" w:line="360" w:lineRule="auto"/>
        <w:jc w:val="both"/>
        <w:rPr>
          <w:rFonts w:ascii="Arial" w:eastAsia="Times New Roman" w:hAnsi="Arial" w:cs="Arial"/>
          <w:sz w:val="24"/>
          <w:szCs w:val="24"/>
          <w:lang w:eastAsia="id-ID"/>
        </w:rPr>
      </w:pPr>
      <w:proofErr w:type="spellStart"/>
      <w:r>
        <w:rPr>
          <w:rFonts w:ascii="Arial" w:eastAsia="Times New Roman" w:hAnsi="Arial" w:cs="Arial"/>
          <w:sz w:val="24"/>
          <w:szCs w:val="24"/>
          <w:lang w:val="en-US" w:eastAsia="id-ID"/>
        </w:rPr>
        <w:t>Rencana</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tindak</w:t>
      </w:r>
      <w:proofErr w:type="spellEnd"/>
      <w:r>
        <w:rPr>
          <w:rFonts w:ascii="Arial" w:eastAsia="Times New Roman" w:hAnsi="Arial" w:cs="Arial"/>
          <w:sz w:val="24"/>
          <w:szCs w:val="24"/>
          <w:lang w:val="en-US" w:eastAsia="id-ID"/>
        </w:rPr>
        <w:t xml:space="preserve"> </w:t>
      </w:r>
      <w:proofErr w:type="spellStart"/>
      <w:proofErr w:type="gramStart"/>
      <w:r>
        <w:rPr>
          <w:rFonts w:ascii="Arial" w:eastAsia="Times New Roman" w:hAnsi="Arial" w:cs="Arial"/>
          <w:sz w:val="24"/>
          <w:szCs w:val="24"/>
          <w:lang w:val="en-US" w:eastAsia="id-ID"/>
        </w:rPr>
        <w:t>lanjutnya</w:t>
      </w:r>
      <w:proofErr w:type="spellEnd"/>
      <w:r>
        <w:rPr>
          <w:rFonts w:ascii="Arial" w:eastAsia="Times New Roman" w:hAnsi="Arial" w:cs="Arial"/>
          <w:sz w:val="24"/>
          <w:szCs w:val="24"/>
          <w:lang w:val="en-US" w:eastAsia="id-ID"/>
        </w:rPr>
        <w:t xml:space="preserve"> </w:t>
      </w:r>
      <w:r>
        <w:rPr>
          <w:rFonts w:ascii="Arial" w:eastAsia="Times New Roman" w:hAnsi="Arial" w:cs="Arial"/>
          <w:sz w:val="24"/>
          <w:szCs w:val="24"/>
          <w:lang w:eastAsia="id-ID"/>
        </w:rPr>
        <w:t>:</w:t>
      </w:r>
      <w:proofErr w:type="gramEnd"/>
    </w:p>
    <w:p w:rsidR="004C5557" w:rsidRPr="00BD3D2B" w:rsidRDefault="004C5557" w:rsidP="004C5557">
      <w:pPr>
        <w:pStyle w:val="ListParagraph"/>
        <w:numPr>
          <w:ilvl w:val="0"/>
          <w:numId w:val="2"/>
        </w:numPr>
        <w:spacing w:after="0" w:line="360" w:lineRule="auto"/>
        <w:ind w:left="426"/>
        <w:jc w:val="both"/>
        <w:rPr>
          <w:rFonts w:ascii="Arial" w:eastAsia="Times New Roman" w:hAnsi="Arial" w:cs="Arial"/>
          <w:sz w:val="24"/>
          <w:szCs w:val="24"/>
          <w:lang w:eastAsia="id-ID"/>
        </w:rPr>
      </w:pPr>
      <w:proofErr w:type="spellStart"/>
      <w:r w:rsidRPr="00BD3D2B">
        <w:rPr>
          <w:rFonts w:ascii="Arial" w:eastAsia="Times New Roman" w:hAnsi="Arial" w:cs="Arial"/>
          <w:sz w:val="24"/>
          <w:szCs w:val="24"/>
          <w:lang w:eastAsia="id-ID"/>
        </w:rPr>
        <w:t>Sosialisasi</w:t>
      </w:r>
      <w:proofErr w:type="spellEnd"/>
      <w:r w:rsidRPr="00BD3D2B">
        <w:rPr>
          <w:rFonts w:ascii="Arial" w:eastAsia="Times New Roman" w:hAnsi="Arial" w:cs="Arial"/>
          <w:sz w:val="24"/>
          <w:szCs w:val="24"/>
          <w:lang w:eastAsia="id-ID"/>
        </w:rPr>
        <w:t xml:space="preserve"> </w:t>
      </w:r>
      <w:proofErr w:type="spellStart"/>
      <w:r w:rsidRPr="00BD3D2B">
        <w:rPr>
          <w:rFonts w:ascii="Arial" w:eastAsia="Times New Roman" w:hAnsi="Arial" w:cs="Arial"/>
          <w:sz w:val="24"/>
          <w:szCs w:val="24"/>
          <w:lang w:eastAsia="id-ID"/>
        </w:rPr>
        <w:t>kembali</w:t>
      </w:r>
      <w:proofErr w:type="spellEnd"/>
      <w:r w:rsidRPr="00BD3D2B">
        <w:rPr>
          <w:rFonts w:ascii="Arial" w:eastAsia="Times New Roman" w:hAnsi="Arial" w:cs="Arial"/>
          <w:sz w:val="24"/>
          <w:szCs w:val="24"/>
          <w:lang w:eastAsia="id-ID"/>
        </w:rPr>
        <w:t xml:space="preserve"> </w:t>
      </w:r>
      <w:proofErr w:type="spellStart"/>
      <w:r w:rsidRPr="00BD3D2B">
        <w:rPr>
          <w:rFonts w:ascii="Arial" w:eastAsia="Times New Roman" w:hAnsi="Arial" w:cs="Arial"/>
          <w:sz w:val="24"/>
          <w:szCs w:val="24"/>
          <w:lang w:eastAsia="id-ID"/>
        </w:rPr>
        <w:t>secara</w:t>
      </w:r>
      <w:proofErr w:type="spellEnd"/>
      <w:r w:rsidRPr="00BD3D2B">
        <w:rPr>
          <w:rFonts w:ascii="Arial" w:eastAsia="Times New Roman" w:hAnsi="Arial" w:cs="Arial"/>
          <w:sz w:val="24"/>
          <w:szCs w:val="24"/>
          <w:lang w:eastAsia="id-ID"/>
        </w:rPr>
        <w:t xml:space="preserve"> </w:t>
      </w:r>
      <w:proofErr w:type="spellStart"/>
      <w:r w:rsidRPr="00BD3D2B">
        <w:rPr>
          <w:rFonts w:ascii="Arial" w:eastAsia="Times New Roman" w:hAnsi="Arial" w:cs="Arial"/>
          <w:sz w:val="24"/>
          <w:szCs w:val="24"/>
          <w:lang w:eastAsia="id-ID"/>
        </w:rPr>
        <w:t>masif</w:t>
      </w:r>
      <w:proofErr w:type="spellEnd"/>
      <w:r w:rsidRPr="00BD3D2B">
        <w:rPr>
          <w:rFonts w:ascii="Arial" w:eastAsia="Times New Roman" w:hAnsi="Arial" w:cs="Arial"/>
          <w:sz w:val="24"/>
          <w:szCs w:val="24"/>
          <w:lang w:eastAsia="id-ID"/>
        </w:rPr>
        <w:t xml:space="preserve"> </w:t>
      </w:r>
      <w:proofErr w:type="spellStart"/>
      <w:r w:rsidRPr="00BD3D2B">
        <w:rPr>
          <w:rFonts w:ascii="Arial" w:eastAsia="Times New Roman" w:hAnsi="Arial" w:cs="Arial"/>
          <w:sz w:val="24"/>
          <w:szCs w:val="24"/>
          <w:lang w:eastAsia="id-ID"/>
        </w:rPr>
        <w:t>ke</w:t>
      </w:r>
      <w:proofErr w:type="spellEnd"/>
      <w:r w:rsidRPr="00BD3D2B">
        <w:rPr>
          <w:rFonts w:ascii="Arial" w:eastAsia="Times New Roman" w:hAnsi="Arial" w:cs="Arial"/>
          <w:sz w:val="24"/>
          <w:szCs w:val="24"/>
          <w:lang w:eastAsia="id-ID"/>
        </w:rPr>
        <w:t xml:space="preserve"> unit </w:t>
      </w:r>
      <w:proofErr w:type="spellStart"/>
      <w:r w:rsidRPr="00BD3D2B">
        <w:rPr>
          <w:rFonts w:ascii="Arial" w:eastAsia="Times New Roman" w:hAnsi="Arial" w:cs="Arial"/>
          <w:sz w:val="24"/>
          <w:szCs w:val="24"/>
          <w:lang w:eastAsia="id-ID"/>
        </w:rPr>
        <w:t>terkait</w:t>
      </w:r>
      <w:proofErr w:type="spellEnd"/>
      <w:r w:rsidRPr="00BD3D2B">
        <w:rPr>
          <w:rFonts w:ascii="Arial" w:eastAsia="Times New Roman" w:hAnsi="Arial" w:cs="Arial"/>
          <w:sz w:val="24"/>
          <w:szCs w:val="24"/>
          <w:lang w:eastAsia="id-ID"/>
        </w:rPr>
        <w:t xml:space="preserve"> </w:t>
      </w:r>
      <w:proofErr w:type="spellStart"/>
      <w:r w:rsidRPr="00BD3D2B">
        <w:rPr>
          <w:rFonts w:ascii="Arial" w:eastAsia="Times New Roman" w:hAnsi="Arial" w:cs="Arial"/>
          <w:sz w:val="24"/>
          <w:szCs w:val="24"/>
          <w:lang w:eastAsia="id-ID"/>
        </w:rPr>
        <w:t>tentang</w:t>
      </w:r>
      <w:proofErr w:type="spellEnd"/>
      <w:r w:rsidRPr="00BD3D2B">
        <w:rPr>
          <w:rFonts w:ascii="Arial" w:eastAsia="Times New Roman" w:hAnsi="Arial" w:cs="Arial"/>
          <w:sz w:val="24"/>
          <w:szCs w:val="24"/>
          <w:lang w:eastAsia="id-ID"/>
        </w:rPr>
        <w:t xml:space="preserve"> </w:t>
      </w:r>
      <w:proofErr w:type="spellStart"/>
      <w:r w:rsidRPr="00BD3D2B">
        <w:rPr>
          <w:rFonts w:ascii="Arial" w:eastAsia="Times New Roman" w:hAnsi="Arial" w:cs="Arial"/>
          <w:sz w:val="24"/>
          <w:szCs w:val="24"/>
          <w:lang w:eastAsia="id-ID"/>
        </w:rPr>
        <w:t>pentingnya</w:t>
      </w:r>
      <w:proofErr w:type="spellEnd"/>
      <w:r w:rsidRPr="00BD3D2B">
        <w:rPr>
          <w:rFonts w:ascii="Arial" w:eastAsia="Times New Roman" w:hAnsi="Arial" w:cs="Arial"/>
          <w:sz w:val="24"/>
          <w:szCs w:val="24"/>
          <w:lang w:eastAsia="id-ID"/>
        </w:rPr>
        <w:t xml:space="preserve"> </w:t>
      </w:r>
      <w:proofErr w:type="spellStart"/>
      <w:r w:rsidRPr="00BD3D2B">
        <w:rPr>
          <w:rFonts w:ascii="Arial" w:eastAsia="Times New Roman" w:hAnsi="Arial" w:cs="Arial"/>
          <w:sz w:val="24"/>
          <w:szCs w:val="24"/>
          <w:lang w:eastAsia="id-ID"/>
        </w:rPr>
        <w:t>upaya</w:t>
      </w:r>
      <w:proofErr w:type="spellEnd"/>
      <w:r w:rsidRPr="00BD3D2B">
        <w:rPr>
          <w:rFonts w:ascii="Arial" w:eastAsia="Times New Roman" w:hAnsi="Arial" w:cs="Arial"/>
          <w:sz w:val="24"/>
          <w:szCs w:val="24"/>
          <w:lang w:eastAsia="id-ID"/>
        </w:rPr>
        <w:t xml:space="preserve"> </w:t>
      </w:r>
      <w:proofErr w:type="spellStart"/>
      <w:r w:rsidRPr="00BD3D2B">
        <w:rPr>
          <w:rFonts w:ascii="Arial" w:eastAsia="Times New Roman" w:hAnsi="Arial" w:cs="Arial"/>
          <w:sz w:val="24"/>
          <w:szCs w:val="24"/>
          <w:lang w:eastAsia="id-ID"/>
        </w:rPr>
        <w:t>pencegahan</w:t>
      </w:r>
      <w:proofErr w:type="spellEnd"/>
      <w:r w:rsidRPr="00BD3D2B">
        <w:rPr>
          <w:rFonts w:ascii="Arial" w:eastAsia="Times New Roman" w:hAnsi="Arial" w:cs="Arial"/>
          <w:sz w:val="24"/>
          <w:szCs w:val="24"/>
          <w:lang w:eastAsia="id-ID"/>
        </w:rPr>
        <w:t xml:space="preserve"> </w:t>
      </w:r>
      <w:proofErr w:type="spellStart"/>
      <w:r w:rsidRPr="00BD3D2B">
        <w:rPr>
          <w:rFonts w:ascii="Arial" w:eastAsia="Times New Roman" w:hAnsi="Arial" w:cs="Arial"/>
          <w:sz w:val="24"/>
          <w:szCs w:val="24"/>
          <w:lang w:eastAsia="id-ID"/>
        </w:rPr>
        <w:t>resiko</w:t>
      </w:r>
      <w:proofErr w:type="spellEnd"/>
      <w:r w:rsidRPr="00BD3D2B">
        <w:rPr>
          <w:rFonts w:ascii="Arial" w:eastAsia="Times New Roman" w:hAnsi="Arial" w:cs="Arial"/>
          <w:sz w:val="24"/>
          <w:szCs w:val="24"/>
          <w:lang w:eastAsia="id-ID"/>
        </w:rPr>
        <w:t xml:space="preserve"> </w:t>
      </w:r>
      <w:proofErr w:type="spellStart"/>
      <w:r w:rsidRPr="00BD3D2B">
        <w:rPr>
          <w:rFonts w:ascii="Arial" w:eastAsia="Times New Roman" w:hAnsi="Arial" w:cs="Arial"/>
          <w:sz w:val="24"/>
          <w:szCs w:val="24"/>
          <w:lang w:eastAsia="id-ID"/>
        </w:rPr>
        <w:t>jatuh</w:t>
      </w:r>
      <w:proofErr w:type="spellEnd"/>
      <w:r w:rsidRPr="00BD3D2B">
        <w:rPr>
          <w:rFonts w:ascii="Arial" w:eastAsia="Times New Roman" w:hAnsi="Arial" w:cs="Arial"/>
          <w:sz w:val="24"/>
          <w:szCs w:val="24"/>
          <w:lang w:eastAsia="id-ID"/>
        </w:rPr>
        <w:t xml:space="preserve">. </w:t>
      </w:r>
    </w:p>
    <w:p w:rsidR="004C5557" w:rsidRPr="00BD3D2B" w:rsidRDefault="004C5557" w:rsidP="004C5557">
      <w:pPr>
        <w:pStyle w:val="ListParagraph"/>
        <w:numPr>
          <w:ilvl w:val="0"/>
          <w:numId w:val="2"/>
        </w:numPr>
        <w:spacing w:after="0" w:line="360" w:lineRule="auto"/>
        <w:ind w:left="426"/>
        <w:jc w:val="both"/>
        <w:rPr>
          <w:rFonts w:ascii="Arial" w:eastAsia="Times New Roman" w:hAnsi="Arial" w:cs="Arial"/>
          <w:sz w:val="24"/>
          <w:szCs w:val="24"/>
          <w:lang w:eastAsia="id-ID"/>
        </w:rPr>
      </w:pPr>
      <w:proofErr w:type="spellStart"/>
      <w:r w:rsidRPr="00BD3D2B">
        <w:rPr>
          <w:rFonts w:ascii="Arial" w:eastAsia="Times New Roman" w:hAnsi="Arial" w:cs="Arial"/>
          <w:sz w:val="24"/>
          <w:szCs w:val="24"/>
          <w:lang w:eastAsia="id-ID"/>
        </w:rPr>
        <w:t>Saat</w:t>
      </w:r>
      <w:proofErr w:type="spellEnd"/>
      <w:r w:rsidRPr="00BD3D2B">
        <w:rPr>
          <w:rFonts w:ascii="Arial" w:eastAsia="Times New Roman" w:hAnsi="Arial" w:cs="Arial"/>
          <w:sz w:val="24"/>
          <w:szCs w:val="24"/>
          <w:lang w:eastAsia="id-ID"/>
        </w:rPr>
        <w:t xml:space="preserve"> </w:t>
      </w:r>
      <w:proofErr w:type="spellStart"/>
      <w:r w:rsidRPr="00BD3D2B">
        <w:rPr>
          <w:rFonts w:ascii="Arial" w:eastAsia="Times New Roman" w:hAnsi="Arial" w:cs="Arial"/>
          <w:sz w:val="24"/>
          <w:szCs w:val="24"/>
          <w:lang w:eastAsia="id-ID"/>
        </w:rPr>
        <w:t>timbang</w:t>
      </w:r>
      <w:proofErr w:type="spellEnd"/>
      <w:r w:rsidRPr="00BD3D2B">
        <w:rPr>
          <w:rFonts w:ascii="Arial" w:eastAsia="Times New Roman" w:hAnsi="Arial" w:cs="Arial"/>
          <w:sz w:val="24"/>
          <w:szCs w:val="24"/>
          <w:lang w:eastAsia="id-ID"/>
        </w:rPr>
        <w:t xml:space="preserve"> </w:t>
      </w:r>
      <w:proofErr w:type="spellStart"/>
      <w:r w:rsidRPr="00BD3D2B">
        <w:rPr>
          <w:rFonts w:ascii="Arial" w:eastAsia="Times New Roman" w:hAnsi="Arial" w:cs="Arial"/>
          <w:sz w:val="24"/>
          <w:szCs w:val="24"/>
          <w:lang w:eastAsia="id-ID"/>
        </w:rPr>
        <w:t>terima</w:t>
      </w:r>
      <w:proofErr w:type="spellEnd"/>
      <w:r w:rsidRPr="00BD3D2B">
        <w:rPr>
          <w:rFonts w:ascii="Arial" w:eastAsia="Times New Roman" w:hAnsi="Arial" w:cs="Arial"/>
          <w:sz w:val="24"/>
          <w:szCs w:val="24"/>
          <w:lang w:eastAsia="id-ID"/>
        </w:rPr>
        <w:t xml:space="preserve"> </w:t>
      </w:r>
      <w:proofErr w:type="spellStart"/>
      <w:r w:rsidRPr="00BD3D2B">
        <w:rPr>
          <w:rFonts w:ascii="Arial" w:eastAsia="Times New Roman" w:hAnsi="Arial" w:cs="Arial"/>
          <w:sz w:val="24"/>
          <w:szCs w:val="24"/>
          <w:lang w:eastAsia="id-ID"/>
        </w:rPr>
        <w:t>perlu</w:t>
      </w:r>
      <w:proofErr w:type="spellEnd"/>
      <w:r w:rsidRPr="00BD3D2B">
        <w:rPr>
          <w:rFonts w:ascii="Arial" w:eastAsia="Times New Roman" w:hAnsi="Arial" w:cs="Arial"/>
          <w:sz w:val="24"/>
          <w:szCs w:val="24"/>
          <w:lang w:eastAsia="id-ID"/>
        </w:rPr>
        <w:t xml:space="preserve"> </w:t>
      </w:r>
      <w:proofErr w:type="spellStart"/>
      <w:r w:rsidRPr="00BD3D2B">
        <w:rPr>
          <w:rFonts w:ascii="Arial" w:eastAsia="Times New Roman" w:hAnsi="Arial" w:cs="Arial"/>
          <w:sz w:val="24"/>
          <w:szCs w:val="24"/>
          <w:lang w:eastAsia="id-ID"/>
        </w:rPr>
        <w:t>dimasukkan</w:t>
      </w:r>
      <w:proofErr w:type="spellEnd"/>
      <w:r w:rsidRPr="00BD3D2B">
        <w:rPr>
          <w:rFonts w:ascii="Arial" w:eastAsia="Times New Roman" w:hAnsi="Arial" w:cs="Arial"/>
          <w:sz w:val="24"/>
          <w:szCs w:val="24"/>
          <w:lang w:eastAsia="id-ID"/>
        </w:rPr>
        <w:t xml:space="preserve"> </w:t>
      </w:r>
      <w:proofErr w:type="spellStart"/>
      <w:r w:rsidRPr="00BD3D2B">
        <w:rPr>
          <w:rFonts w:ascii="Arial" w:eastAsia="Times New Roman" w:hAnsi="Arial" w:cs="Arial"/>
          <w:sz w:val="24"/>
          <w:szCs w:val="24"/>
          <w:lang w:eastAsia="id-ID"/>
        </w:rPr>
        <w:t>poin</w:t>
      </w:r>
      <w:proofErr w:type="spellEnd"/>
      <w:r w:rsidRPr="00BD3D2B">
        <w:rPr>
          <w:rFonts w:ascii="Arial" w:eastAsia="Times New Roman" w:hAnsi="Arial" w:cs="Arial"/>
          <w:sz w:val="24"/>
          <w:szCs w:val="24"/>
          <w:lang w:eastAsia="id-ID"/>
        </w:rPr>
        <w:t xml:space="preserve"> </w:t>
      </w:r>
      <w:proofErr w:type="spellStart"/>
      <w:r w:rsidRPr="00BD3D2B">
        <w:rPr>
          <w:rFonts w:ascii="Arial" w:eastAsia="Times New Roman" w:hAnsi="Arial" w:cs="Arial"/>
          <w:sz w:val="24"/>
          <w:szCs w:val="24"/>
          <w:lang w:eastAsia="id-ID"/>
        </w:rPr>
        <w:t>timbang</w:t>
      </w:r>
      <w:proofErr w:type="spellEnd"/>
      <w:r w:rsidRPr="00BD3D2B">
        <w:rPr>
          <w:rFonts w:ascii="Arial" w:eastAsia="Times New Roman" w:hAnsi="Arial" w:cs="Arial"/>
          <w:sz w:val="24"/>
          <w:szCs w:val="24"/>
          <w:lang w:eastAsia="id-ID"/>
        </w:rPr>
        <w:t xml:space="preserve"> </w:t>
      </w:r>
      <w:proofErr w:type="spellStart"/>
      <w:r w:rsidRPr="00BD3D2B">
        <w:rPr>
          <w:rFonts w:ascii="Arial" w:eastAsia="Times New Roman" w:hAnsi="Arial" w:cs="Arial"/>
          <w:sz w:val="24"/>
          <w:szCs w:val="24"/>
          <w:lang w:eastAsia="id-ID"/>
        </w:rPr>
        <w:t>terima</w:t>
      </w:r>
      <w:proofErr w:type="spellEnd"/>
      <w:r w:rsidRPr="00BD3D2B">
        <w:rPr>
          <w:rFonts w:ascii="Arial" w:eastAsia="Times New Roman" w:hAnsi="Arial" w:cs="Arial"/>
          <w:sz w:val="24"/>
          <w:szCs w:val="24"/>
          <w:lang w:eastAsia="id-ID"/>
        </w:rPr>
        <w:t xml:space="preserve"> </w:t>
      </w:r>
      <w:proofErr w:type="spellStart"/>
      <w:r w:rsidRPr="00BD3D2B">
        <w:rPr>
          <w:rFonts w:ascii="Arial" w:eastAsia="Times New Roman" w:hAnsi="Arial" w:cs="Arial"/>
          <w:sz w:val="24"/>
          <w:szCs w:val="24"/>
          <w:lang w:eastAsia="id-ID"/>
        </w:rPr>
        <w:t>tentang</w:t>
      </w:r>
      <w:proofErr w:type="spellEnd"/>
      <w:r w:rsidRPr="00BD3D2B">
        <w:rPr>
          <w:rFonts w:ascii="Arial" w:eastAsia="Times New Roman" w:hAnsi="Arial" w:cs="Arial"/>
          <w:sz w:val="24"/>
          <w:szCs w:val="24"/>
          <w:lang w:eastAsia="id-ID"/>
        </w:rPr>
        <w:t xml:space="preserve"> </w:t>
      </w:r>
      <w:proofErr w:type="spellStart"/>
      <w:r w:rsidRPr="00BD3D2B">
        <w:rPr>
          <w:rFonts w:ascii="Arial" w:eastAsia="Times New Roman" w:hAnsi="Arial" w:cs="Arial"/>
          <w:sz w:val="24"/>
          <w:szCs w:val="24"/>
          <w:lang w:eastAsia="id-ID"/>
        </w:rPr>
        <w:t>resiko</w:t>
      </w:r>
      <w:proofErr w:type="spellEnd"/>
      <w:r w:rsidRPr="00BD3D2B">
        <w:rPr>
          <w:rFonts w:ascii="Arial" w:eastAsia="Times New Roman" w:hAnsi="Arial" w:cs="Arial"/>
          <w:sz w:val="24"/>
          <w:szCs w:val="24"/>
          <w:lang w:eastAsia="id-ID"/>
        </w:rPr>
        <w:t xml:space="preserve"> </w:t>
      </w:r>
      <w:proofErr w:type="spellStart"/>
      <w:r w:rsidRPr="00BD3D2B">
        <w:rPr>
          <w:rFonts w:ascii="Arial" w:eastAsia="Times New Roman" w:hAnsi="Arial" w:cs="Arial"/>
          <w:sz w:val="24"/>
          <w:szCs w:val="24"/>
          <w:lang w:eastAsia="id-ID"/>
        </w:rPr>
        <w:t>jatuh</w:t>
      </w:r>
      <w:proofErr w:type="spellEnd"/>
      <w:r w:rsidRPr="00BD3D2B">
        <w:rPr>
          <w:rFonts w:ascii="Arial" w:eastAsia="Times New Roman" w:hAnsi="Arial" w:cs="Arial"/>
          <w:sz w:val="24"/>
          <w:szCs w:val="24"/>
          <w:lang w:eastAsia="id-ID"/>
        </w:rPr>
        <w:t xml:space="preserve"> </w:t>
      </w:r>
      <w:proofErr w:type="spellStart"/>
      <w:r w:rsidRPr="00BD3D2B">
        <w:rPr>
          <w:rFonts w:ascii="Arial" w:eastAsia="Times New Roman" w:hAnsi="Arial" w:cs="Arial"/>
          <w:sz w:val="24"/>
          <w:szCs w:val="24"/>
          <w:lang w:eastAsia="id-ID"/>
        </w:rPr>
        <w:t>pada</w:t>
      </w:r>
      <w:proofErr w:type="spellEnd"/>
      <w:r w:rsidRPr="00BD3D2B">
        <w:rPr>
          <w:rFonts w:ascii="Arial" w:eastAsia="Times New Roman" w:hAnsi="Arial" w:cs="Arial"/>
          <w:sz w:val="24"/>
          <w:szCs w:val="24"/>
          <w:lang w:eastAsia="id-ID"/>
        </w:rPr>
        <w:t xml:space="preserve"> </w:t>
      </w:r>
      <w:proofErr w:type="spellStart"/>
      <w:r w:rsidRPr="00BD3D2B">
        <w:rPr>
          <w:rFonts w:ascii="Arial" w:eastAsia="Times New Roman" w:hAnsi="Arial" w:cs="Arial"/>
          <w:sz w:val="24"/>
          <w:szCs w:val="24"/>
          <w:lang w:eastAsia="id-ID"/>
        </w:rPr>
        <w:t>pasien</w:t>
      </w:r>
      <w:proofErr w:type="spellEnd"/>
      <w:r w:rsidRPr="00BD3D2B">
        <w:rPr>
          <w:rFonts w:ascii="Arial" w:eastAsia="Times New Roman" w:hAnsi="Arial" w:cs="Arial"/>
          <w:sz w:val="24"/>
          <w:szCs w:val="24"/>
          <w:lang w:eastAsia="id-ID"/>
        </w:rPr>
        <w:t xml:space="preserve">. </w:t>
      </w:r>
      <w:proofErr w:type="spellStart"/>
      <w:r w:rsidRPr="00BD3D2B">
        <w:rPr>
          <w:rFonts w:ascii="Arial" w:eastAsia="Times New Roman" w:hAnsi="Arial" w:cs="Arial"/>
          <w:sz w:val="24"/>
          <w:szCs w:val="24"/>
          <w:lang w:eastAsia="id-ID"/>
        </w:rPr>
        <w:t>Perlu</w:t>
      </w:r>
      <w:proofErr w:type="spellEnd"/>
      <w:r w:rsidRPr="00BD3D2B">
        <w:rPr>
          <w:rFonts w:ascii="Arial" w:eastAsia="Times New Roman" w:hAnsi="Arial" w:cs="Arial"/>
          <w:sz w:val="24"/>
          <w:szCs w:val="24"/>
          <w:lang w:eastAsia="id-ID"/>
        </w:rPr>
        <w:t xml:space="preserve"> </w:t>
      </w:r>
      <w:proofErr w:type="spellStart"/>
      <w:r w:rsidRPr="00BD3D2B">
        <w:rPr>
          <w:rFonts w:ascii="Arial" w:eastAsia="Times New Roman" w:hAnsi="Arial" w:cs="Arial"/>
          <w:sz w:val="24"/>
          <w:szCs w:val="24"/>
          <w:lang w:eastAsia="id-ID"/>
        </w:rPr>
        <w:t>diadakan</w:t>
      </w:r>
      <w:proofErr w:type="spellEnd"/>
      <w:r w:rsidRPr="00BD3D2B">
        <w:rPr>
          <w:rFonts w:ascii="Arial" w:eastAsia="Times New Roman" w:hAnsi="Arial" w:cs="Arial"/>
          <w:sz w:val="24"/>
          <w:szCs w:val="24"/>
          <w:lang w:eastAsia="id-ID"/>
        </w:rPr>
        <w:t xml:space="preserve"> </w:t>
      </w:r>
      <w:proofErr w:type="spellStart"/>
      <w:r w:rsidRPr="00BD3D2B">
        <w:rPr>
          <w:rFonts w:ascii="Arial" w:eastAsia="Times New Roman" w:hAnsi="Arial" w:cs="Arial"/>
          <w:sz w:val="24"/>
          <w:szCs w:val="24"/>
          <w:lang w:eastAsia="id-ID"/>
        </w:rPr>
        <w:t>stempel</w:t>
      </w:r>
      <w:proofErr w:type="spellEnd"/>
      <w:r w:rsidRPr="00BD3D2B">
        <w:rPr>
          <w:rFonts w:ascii="Arial" w:eastAsia="Times New Roman" w:hAnsi="Arial" w:cs="Arial"/>
          <w:sz w:val="24"/>
          <w:szCs w:val="24"/>
          <w:lang w:eastAsia="id-ID"/>
        </w:rPr>
        <w:t xml:space="preserve"> </w:t>
      </w:r>
      <w:proofErr w:type="spellStart"/>
      <w:r w:rsidRPr="00BD3D2B">
        <w:rPr>
          <w:rFonts w:ascii="Arial" w:eastAsia="Times New Roman" w:hAnsi="Arial" w:cs="Arial"/>
          <w:sz w:val="24"/>
          <w:szCs w:val="24"/>
          <w:lang w:eastAsia="id-ID"/>
        </w:rPr>
        <w:t>timbang</w:t>
      </w:r>
      <w:proofErr w:type="spellEnd"/>
      <w:r w:rsidRPr="00BD3D2B">
        <w:rPr>
          <w:rFonts w:ascii="Arial" w:eastAsia="Times New Roman" w:hAnsi="Arial" w:cs="Arial"/>
          <w:sz w:val="24"/>
          <w:szCs w:val="24"/>
          <w:lang w:eastAsia="id-ID"/>
        </w:rPr>
        <w:t xml:space="preserve"> </w:t>
      </w:r>
      <w:proofErr w:type="spellStart"/>
      <w:r w:rsidRPr="00BD3D2B">
        <w:rPr>
          <w:rFonts w:ascii="Arial" w:eastAsia="Times New Roman" w:hAnsi="Arial" w:cs="Arial"/>
          <w:sz w:val="24"/>
          <w:szCs w:val="24"/>
          <w:lang w:eastAsia="id-ID"/>
        </w:rPr>
        <w:t>terima</w:t>
      </w:r>
      <w:proofErr w:type="spellEnd"/>
      <w:r w:rsidRPr="00BD3D2B">
        <w:rPr>
          <w:rFonts w:ascii="Arial" w:eastAsia="Times New Roman" w:hAnsi="Arial" w:cs="Arial"/>
          <w:sz w:val="24"/>
          <w:szCs w:val="24"/>
          <w:lang w:eastAsia="id-ID"/>
        </w:rPr>
        <w:t xml:space="preserve"> </w:t>
      </w:r>
      <w:proofErr w:type="spellStart"/>
      <w:r w:rsidRPr="00BD3D2B">
        <w:rPr>
          <w:rFonts w:ascii="Arial" w:eastAsia="Times New Roman" w:hAnsi="Arial" w:cs="Arial"/>
          <w:sz w:val="24"/>
          <w:szCs w:val="24"/>
          <w:lang w:eastAsia="id-ID"/>
        </w:rPr>
        <w:t>sebagaimana</w:t>
      </w:r>
      <w:proofErr w:type="spellEnd"/>
      <w:r w:rsidRPr="00BD3D2B">
        <w:rPr>
          <w:rFonts w:ascii="Arial" w:eastAsia="Times New Roman" w:hAnsi="Arial" w:cs="Arial"/>
          <w:sz w:val="24"/>
          <w:szCs w:val="24"/>
          <w:lang w:eastAsia="id-ID"/>
        </w:rPr>
        <w:t xml:space="preserve"> </w:t>
      </w:r>
      <w:proofErr w:type="spellStart"/>
      <w:r w:rsidRPr="00BD3D2B">
        <w:rPr>
          <w:rFonts w:ascii="Arial" w:eastAsia="Times New Roman" w:hAnsi="Arial" w:cs="Arial"/>
          <w:sz w:val="24"/>
          <w:szCs w:val="24"/>
          <w:lang w:eastAsia="id-ID"/>
        </w:rPr>
        <w:t>stempel</w:t>
      </w:r>
      <w:proofErr w:type="spellEnd"/>
      <w:r w:rsidRPr="00BD3D2B">
        <w:rPr>
          <w:rFonts w:ascii="Arial" w:eastAsia="Times New Roman" w:hAnsi="Arial" w:cs="Arial"/>
          <w:sz w:val="24"/>
          <w:szCs w:val="24"/>
          <w:lang w:eastAsia="id-ID"/>
        </w:rPr>
        <w:t xml:space="preserve"> SBAR. </w:t>
      </w:r>
    </w:p>
    <w:p w:rsidR="004C5557" w:rsidRPr="00BD3D2B" w:rsidRDefault="004C5557" w:rsidP="004C5557">
      <w:pPr>
        <w:pStyle w:val="ListParagraph"/>
        <w:spacing w:after="0" w:line="360" w:lineRule="auto"/>
        <w:ind w:left="426"/>
        <w:jc w:val="both"/>
        <w:rPr>
          <w:rFonts w:ascii="Arial" w:eastAsia="Times New Roman" w:hAnsi="Arial" w:cs="Arial"/>
          <w:sz w:val="24"/>
          <w:szCs w:val="24"/>
          <w:lang w:eastAsia="id-ID"/>
        </w:rPr>
      </w:pPr>
    </w:p>
    <w:p w:rsidR="004C5557" w:rsidRPr="00BA045E" w:rsidRDefault="004C5557" w:rsidP="00BA045E">
      <w:pPr>
        <w:pStyle w:val="ListParagraph"/>
        <w:numPr>
          <w:ilvl w:val="0"/>
          <w:numId w:val="3"/>
        </w:numPr>
        <w:spacing w:after="0" w:line="360" w:lineRule="auto"/>
        <w:ind w:left="426"/>
        <w:jc w:val="both"/>
        <w:rPr>
          <w:rFonts w:ascii="Arial" w:hAnsi="Arial" w:cs="Arial"/>
          <w:sz w:val="24"/>
          <w:szCs w:val="24"/>
        </w:rPr>
      </w:pPr>
      <w:proofErr w:type="spellStart"/>
      <w:r w:rsidRPr="00BA045E">
        <w:rPr>
          <w:rFonts w:ascii="Arial" w:hAnsi="Arial" w:cs="Arial"/>
          <w:sz w:val="24"/>
          <w:szCs w:val="24"/>
        </w:rPr>
        <w:t>Waktu</w:t>
      </w:r>
      <w:proofErr w:type="spellEnd"/>
      <w:r w:rsidRPr="00BA045E">
        <w:rPr>
          <w:rFonts w:ascii="Arial" w:hAnsi="Arial" w:cs="Arial"/>
          <w:sz w:val="24"/>
          <w:szCs w:val="24"/>
        </w:rPr>
        <w:t xml:space="preserve"> </w:t>
      </w:r>
      <w:proofErr w:type="spellStart"/>
      <w:r w:rsidRPr="00BA045E">
        <w:rPr>
          <w:rFonts w:ascii="Arial" w:hAnsi="Arial" w:cs="Arial"/>
          <w:sz w:val="24"/>
          <w:szCs w:val="24"/>
        </w:rPr>
        <w:t>Lapor</w:t>
      </w:r>
      <w:proofErr w:type="spellEnd"/>
      <w:r w:rsidRPr="00BA045E">
        <w:rPr>
          <w:rFonts w:ascii="Arial" w:hAnsi="Arial" w:cs="Arial"/>
          <w:sz w:val="24"/>
          <w:szCs w:val="24"/>
        </w:rPr>
        <w:t xml:space="preserve"> </w:t>
      </w:r>
      <w:proofErr w:type="spellStart"/>
      <w:r w:rsidRPr="00BA045E">
        <w:rPr>
          <w:rFonts w:ascii="Arial" w:hAnsi="Arial" w:cs="Arial"/>
          <w:sz w:val="24"/>
          <w:szCs w:val="24"/>
        </w:rPr>
        <w:t>Hasil</w:t>
      </w:r>
      <w:proofErr w:type="spellEnd"/>
      <w:r w:rsidRPr="00BA045E">
        <w:rPr>
          <w:rFonts w:ascii="Arial" w:hAnsi="Arial" w:cs="Arial"/>
          <w:sz w:val="24"/>
          <w:szCs w:val="24"/>
        </w:rPr>
        <w:t xml:space="preserve"> </w:t>
      </w:r>
      <w:proofErr w:type="spellStart"/>
      <w:r w:rsidRPr="00BA045E">
        <w:rPr>
          <w:rFonts w:ascii="Arial" w:hAnsi="Arial" w:cs="Arial"/>
          <w:sz w:val="24"/>
          <w:szCs w:val="24"/>
        </w:rPr>
        <w:t>Kritis</w:t>
      </w:r>
      <w:proofErr w:type="spellEnd"/>
      <w:r w:rsidRPr="00BA045E">
        <w:rPr>
          <w:rFonts w:ascii="Arial" w:hAnsi="Arial" w:cs="Arial"/>
          <w:sz w:val="24"/>
          <w:szCs w:val="24"/>
        </w:rPr>
        <w:t xml:space="preserve"> Laboratorium</w:t>
      </w:r>
    </w:p>
    <w:p w:rsidR="004C5557" w:rsidRPr="00573079" w:rsidRDefault="004C5557" w:rsidP="004C5557">
      <w:pPr>
        <w:spacing w:line="360" w:lineRule="auto"/>
        <w:jc w:val="both"/>
        <w:rPr>
          <w:rFonts w:ascii="Arial" w:hAnsi="Arial" w:cs="Arial"/>
          <w:sz w:val="24"/>
          <w:szCs w:val="24"/>
          <w:lang w:val="en-US"/>
        </w:rPr>
      </w:pPr>
      <w:r>
        <w:rPr>
          <w:noProof/>
          <w:lang w:eastAsia="id-ID"/>
        </w:rPr>
        <w:drawing>
          <wp:inline distT="0" distB="0" distL="0" distR="0">
            <wp:extent cx="5581650" cy="2143125"/>
            <wp:effectExtent l="19050" t="0" r="1905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C5557" w:rsidRDefault="004C5557" w:rsidP="004C5557">
      <w:pPr>
        <w:spacing w:line="360" w:lineRule="auto"/>
        <w:jc w:val="both"/>
        <w:rPr>
          <w:rFonts w:ascii="Arial" w:eastAsia="Times New Roman" w:hAnsi="Arial" w:cs="Arial"/>
          <w:sz w:val="24"/>
          <w:szCs w:val="24"/>
          <w:lang w:eastAsia="id-ID"/>
        </w:rPr>
      </w:pPr>
      <w:proofErr w:type="spellStart"/>
      <w:proofErr w:type="gramStart"/>
      <w:r w:rsidRPr="009617BF">
        <w:rPr>
          <w:rFonts w:ascii="Arial" w:hAnsi="Arial" w:cs="Arial"/>
          <w:sz w:val="24"/>
          <w:szCs w:val="24"/>
          <w:lang w:val="en-US"/>
        </w:rPr>
        <w:t>Pelaporan</w:t>
      </w:r>
      <w:proofErr w:type="spellEnd"/>
      <w:r>
        <w:rPr>
          <w:rFonts w:ascii="Arial" w:hAnsi="Arial" w:cs="Arial"/>
          <w:sz w:val="24"/>
          <w:szCs w:val="24"/>
        </w:rPr>
        <w:t xml:space="preserve"> </w:t>
      </w:r>
      <w:proofErr w:type="spellStart"/>
      <w:r w:rsidRPr="009617BF">
        <w:rPr>
          <w:rFonts w:ascii="Arial" w:hAnsi="Arial" w:cs="Arial"/>
          <w:sz w:val="24"/>
          <w:szCs w:val="24"/>
          <w:lang w:val="en-US"/>
        </w:rPr>
        <w:t>hasil</w:t>
      </w:r>
      <w:proofErr w:type="spellEnd"/>
      <w:r w:rsidRPr="009617BF">
        <w:rPr>
          <w:rFonts w:ascii="Arial" w:hAnsi="Arial" w:cs="Arial"/>
          <w:sz w:val="24"/>
          <w:szCs w:val="24"/>
          <w:lang w:val="en-US"/>
        </w:rPr>
        <w:t xml:space="preserve"> </w:t>
      </w:r>
      <w:proofErr w:type="spellStart"/>
      <w:r w:rsidRPr="009617BF">
        <w:rPr>
          <w:rFonts w:ascii="Arial" w:hAnsi="Arial" w:cs="Arial"/>
          <w:sz w:val="24"/>
          <w:szCs w:val="24"/>
          <w:lang w:val="en-US"/>
        </w:rPr>
        <w:t>kritis</w:t>
      </w:r>
      <w:proofErr w:type="spellEnd"/>
      <w:r w:rsidRPr="009617BF">
        <w:rPr>
          <w:rFonts w:ascii="Arial" w:hAnsi="Arial" w:cs="Arial"/>
          <w:sz w:val="24"/>
          <w:szCs w:val="24"/>
          <w:lang w:val="en-US"/>
        </w:rPr>
        <w:t xml:space="preserve"> </w:t>
      </w:r>
      <w:proofErr w:type="spellStart"/>
      <w:r w:rsidRPr="009617BF">
        <w:rPr>
          <w:rFonts w:ascii="Arial" w:hAnsi="Arial" w:cs="Arial"/>
          <w:sz w:val="24"/>
          <w:szCs w:val="24"/>
          <w:lang w:val="en-US"/>
        </w:rPr>
        <w:t>laboratorium</w:t>
      </w:r>
      <w:proofErr w:type="spellEnd"/>
      <w:r w:rsidRPr="009617BF">
        <w:rPr>
          <w:rFonts w:ascii="Arial" w:hAnsi="Arial" w:cs="Arial"/>
          <w:sz w:val="24"/>
          <w:szCs w:val="24"/>
          <w:lang w:val="en-US"/>
        </w:rPr>
        <w:t xml:space="preserve"> </w:t>
      </w:r>
      <w:proofErr w:type="spellStart"/>
      <w:r w:rsidRPr="009617BF">
        <w:rPr>
          <w:rFonts w:ascii="Arial" w:hAnsi="Arial" w:cs="Arial"/>
          <w:sz w:val="24"/>
          <w:szCs w:val="24"/>
          <w:lang w:val="en-US"/>
        </w:rPr>
        <w:t>adalah</w:t>
      </w:r>
      <w:proofErr w:type="spellEnd"/>
      <w:r w:rsidRPr="009617BF">
        <w:rPr>
          <w:rFonts w:ascii="Arial" w:hAnsi="Arial" w:cs="Arial"/>
          <w:sz w:val="24"/>
          <w:szCs w:val="24"/>
          <w:lang w:val="en-US"/>
        </w:rPr>
        <w:t xml:space="preserve"> </w:t>
      </w:r>
      <w:r w:rsidRPr="009617BF">
        <w:rPr>
          <w:rFonts w:ascii="Arial" w:eastAsia="Times New Roman" w:hAnsi="Arial" w:cs="Arial"/>
          <w:sz w:val="24"/>
          <w:szCs w:val="24"/>
          <w:lang w:eastAsia="id-ID"/>
        </w:rPr>
        <w:t>waktu yang diperlukan untuk memberikan jawaban kepada dokter yan</w:t>
      </w:r>
      <w:r>
        <w:rPr>
          <w:rFonts w:ascii="Arial" w:eastAsia="Times New Roman" w:hAnsi="Arial" w:cs="Arial"/>
          <w:sz w:val="24"/>
          <w:szCs w:val="24"/>
          <w:lang w:eastAsia="id-ID"/>
        </w:rPr>
        <w:t xml:space="preserve">g mengirim setelah keluar hasil </w:t>
      </w:r>
      <w:r w:rsidRPr="009617BF">
        <w:rPr>
          <w:rFonts w:ascii="Arial" w:eastAsia="Times New Roman" w:hAnsi="Arial" w:cs="Arial"/>
          <w:sz w:val="24"/>
          <w:szCs w:val="24"/>
          <w:lang w:eastAsia="id-ID"/>
        </w:rPr>
        <w:t>pemeriksaan dan mu</w:t>
      </w:r>
      <w:r>
        <w:rPr>
          <w:rFonts w:ascii="Arial" w:eastAsia="Times New Roman" w:hAnsi="Arial" w:cs="Arial"/>
          <w:sz w:val="24"/>
          <w:szCs w:val="24"/>
          <w:lang w:eastAsia="id-ID"/>
        </w:rPr>
        <w:t>lai dibaca oleh dokter/ analis l</w:t>
      </w:r>
      <w:r w:rsidRPr="009617BF">
        <w:rPr>
          <w:rFonts w:ascii="Arial" w:eastAsia="Times New Roman" w:hAnsi="Arial" w:cs="Arial"/>
          <w:sz w:val="24"/>
          <w:szCs w:val="24"/>
          <w:lang w:eastAsia="id-ID"/>
        </w:rPr>
        <w:t>aboratorium sampai hasilnya dit</w:t>
      </w:r>
      <w:r>
        <w:rPr>
          <w:rFonts w:ascii="Arial" w:eastAsia="Times New Roman" w:hAnsi="Arial" w:cs="Arial"/>
          <w:sz w:val="24"/>
          <w:szCs w:val="24"/>
          <w:lang w:eastAsia="id-ID"/>
        </w:rPr>
        <w:t>erima oleh dokter yang mengirim (lisan atau tulisan).</w:t>
      </w:r>
      <w:proofErr w:type="gramEnd"/>
      <w:r>
        <w:rPr>
          <w:rFonts w:ascii="Arial" w:eastAsia="Times New Roman" w:hAnsi="Arial" w:cs="Arial"/>
          <w:sz w:val="24"/>
          <w:szCs w:val="24"/>
          <w:lang w:eastAsia="id-ID"/>
        </w:rPr>
        <w:t xml:space="preserve"> </w:t>
      </w:r>
      <w:r w:rsidRPr="009617BF">
        <w:rPr>
          <w:rFonts w:ascii="Arial" w:eastAsia="Times New Roman" w:hAnsi="Arial" w:cs="Arial"/>
          <w:sz w:val="24"/>
          <w:szCs w:val="24"/>
          <w:lang w:eastAsia="id-ID"/>
        </w:rPr>
        <w:t>Standar : harus diterima oleh dokter yang mengirim dalam waktu kurang dari 30 (tiga puluh) menit baik secara lisan maupun tulisan</w:t>
      </w:r>
      <w:r w:rsidRPr="00A62C63">
        <w:rPr>
          <w:rFonts w:ascii="Arial" w:eastAsia="Times New Roman" w:hAnsi="Arial" w:cs="Arial"/>
          <w:sz w:val="24"/>
          <w:szCs w:val="24"/>
          <w:lang w:eastAsia="id-ID"/>
        </w:rPr>
        <w:t xml:space="preserve">, Dari data di atas menunjukkan waktu lapor hasil kritis laborat sudah sesuai standar yaitu kurang dari 30 menit dimana rata-rata adalah 15 menit. </w:t>
      </w:r>
      <w:proofErr w:type="spellStart"/>
      <w:proofErr w:type="gramStart"/>
      <w:r>
        <w:rPr>
          <w:rFonts w:ascii="Arial" w:eastAsia="Times New Roman" w:hAnsi="Arial" w:cs="Arial"/>
          <w:sz w:val="24"/>
          <w:szCs w:val="24"/>
          <w:lang w:val="en-US" w:eastAsia="id-ID"/>
        </w:rPr>
        <w:t>Rencana</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tindak</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lanjutnya</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adalah</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mempertahankan</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capaian</w:t>
      </w:r>
      <w:proofErr w:type="spellEnd"/>
      <w:r>
        <w:rPr>
          <w:rFonts w:ascii="Arial" w:eastAsia="Times New Roman" w:hAnsi="Arial" w:cs="Arial"/>
          <w:sz w:val="24"/>
          <w:szCs w:val="24"/>
          <w:lang w:val="en-US" w:eastAsia="id-ID"/>
        </w:rPr>
        <w:t>.</w:t>
      </w:r>
      <w:proofErr w:type="gramEnd"/>
      <w:r>
        <w:rPr>
          <w:rFonts w:ascii="Arial" w:eastAsia="Times New Roman" w:hAnsi="Arial" w:cs="Arial"/>
          <w:sz w:val="24"/>
          <w:szCs w:val="24"/>
          <w:lang w:val="en-US" w:eastAsia="id-ID"/>
        </w:rPr>
        <w:t xml:space="preserve"> </w:t>
      </w:r>
    </w:p>
    <w:p w:rsidR="00BA045E" w:rsidRDefault="00BA045E" w:rsidP="004C5557">
      <w:pPr>
        <w:spacing w:line="360" w:lineRule="auto"/>
        <w:jc w:val="both"/>
        <w:rPr>
          <w:rFonts w:ascii="Arial" w:eastAsia="Times New Roman" w:hAnsi="Arial" w:cs="Arial"/>
          <w:sz w:val="24"/>
          <w:szCs w:val="24"/>
          <w:lang w:eastAsia="id-ID"/>
        </w:rPr>
      </w:pPr>
    </w:p>
    <w:p w:rsidR="00BA045E" w:rsidRPr="00BA045E" w:rsidRDefault="00BA045E" w:rsidP="004C5557">
      <w:pPr>
        <w:spacing w:line="360" w:lineRule="auto"/>
        <w:jc w:val="both"/>
        <w:rPr>
          <w:rFonts w:ascii="Arial" w:eastAsia="Times New Roman" w:hAnsi="Arial" w:cs="Arial"/>
          <w:sz w:val="24"/>
          <w:szCs w:val="24"/>
          <w:lang w:eastAsia="id-ID"/>
        </w:rPr>
      </w:pPr>
    </w:p>
    <w:p w:rsidR="004C5557" w:rsidRPr="00BA045E" w:rsidRDefault="004C5557" w:rsidP="00BA045E">
      <w:pPr>
        <w:pStyle w:val="ListParagraph"/>
        <w:numPr>
          <w:ilvl w:val="0"/>
          <w:numId w:val="3"/>
        </w:numPr>
        <w:spacing w:line="360" w:lineRule="auto"/>
        <w:ind w:left="426"/>
        <w:jc w:val="both"/>
        <w:rPr>
          <w:rFonts w:ascii="Arial" w:eastAsia="Times New Roman" w:hAnsi="Arial" w:cs="Arial"/>
          <w:sz w:val="24"/>
          <w:szCs w:val="24"/>
          <w:lang w:eastAsia="id-ID"/>
        </w:rPr>
      </w:pPr>
      <w:proofErr w:type="spellStart"/>
      <w:r w:rsidRPr="00BA045E">
        <w:rPr>
          <w:rFonts w:ascii="Arial" w:hAnsi="Arial" w:cs="Arial"/>
          <w:sz w:val="24"/>
          <w:szCs w:val="24"/>
        </w:rPr>
        <w:lastRenderedPageBreak/>
        <w:t>Kepatuhan</w:t>
      </w:r>
      <w:proofErr w:type="spellEnd"/>
      <w:r w:rsidRPr="00BA045E">
        <w:rPr>
          <w:rFonts w:ascii="Arial" w:hAnsi="Arial" w:cs="Arial"/>
          <w:sz w:val="24"/>
          <w:szCs w:val="24"/>
        </w:rPr>
        <w:t xml:space="preserve">  </w:t>
      </w:r>
      <w:proofErr w:type="spellStart"/>
      <w:r w:rsidRPr="00BA045E">
        <w:rPr>
          <w:rFonts w:ascii="Arial" w:hAnsi="Arial" w:cs="Arial"/>
          <w:sz w:val="24"/>
          <w:szCs w:val="24"/>
        </w:rPr>
        <w:t>Identifikasi</w:t>
      </w:r>
      <w:proofErr w:type="spellEnd"/>
      <w:r w:rsidRPr="00BA045E">
        <w:rPr>
          <w:rFonts w:ascii="Arial" w:hAnsi="Arial" w:cs="Arial"/>
          <w:sz w:val="24"/>
          <w:szCs w:val="24"/>
        </w:rPr>
        <w:t xml:space="preserve"> </w:t>
      </w:r>
      <w:proofErr w:type="spellStart"/>
      <w:r w:rsidRPr="00BA045E">
        <w:rPr>
          <w:rFonts w:ascii="Arial" w:hAnsi="Arial" w:cs="Arial"/>
          <w:sz w:val="24"/>
          <w:szCs w:val="24"/>
        </w:rPr>
        <w:t>Pasien</w:t>
      </w:r>
      <w:proofErr w:type="spellEnd"/>
    </w:p>
    <w:p w:rsidR="004C5557" w:rsidRPr="006B3573" w:rsidRDefault="004C5557" w:rsidP="004C5557">
      <w:pPr>
        <w:spacing w:line="360" w:lineRule="auto"/>
        <w:jc w:val="both"/>
        <w:rPr>
          <w:rFonts w:ascii="Arial" w:hAnsi="Arial" w:cs="Arial"/>
          <w:lang w:val="en-US"/>
        </w:rPr>
      </w:pPr>
      <w:r>
        <w:rPr>
          <w:rFonts w:ascii="Arial" w:hAnsi="Arial" w:cs="Arial"/>
          <w:noProof/>
          <w:lang w:eastAsia="id-ID"/>
        </w:rPr>
        <w:drawing>
          <wp:inline distT="0" distB="0" distL="0" distR="0">
            <wp:extent cx="5495925" cy="2400300"/>
            <wp:effectExtent l="19050" t="0" r="952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C5557" w:rsidRDefault="004C5557" w:rsidP="004C5557">
      <w:pPr>
        <w:spacing w:after="0" w:line="360" w:lineRule="auto"/>
        <w:jc w:val="both"/>
        <w:rPr>
          <w:rFonts w:ascii="Arial" w:eastAsia="Times New Roman" w:hAnsi="Arial" w:cs="Arial"/>
          <w:sz w:val="24"/>
          <w:szCs w:val="24"/>
          <w:lang w:eastAsia="id-ID"/>
        </w:rPr>
      </w:pPr>
      <w:proofErr w:type="spellStart"/>
      <w:r w:rsidRPr="00E730EF">
        <w:rPr>
          <w:rFonts w:ascii="Arial" w:hAnsi="Arial" w:cs="Arial"/>
          <w:sz w:val="24"/>
          <w:szCs w:val="24"/>
          <w:lang w:val="en-US"/>
        </w:rPr>
        <w:t>Kepat</w:t>
      </w:r>
      <w:r>
        <w:rPr>
          <w:rFonts w:ascii="Arial" w:hAnsi="Arial" w:cs="Arial"/>
          <w:sz w:val="24"/>
          <w:szCs w:val="24"/>
          <w:lang w:val="en-US"/>
        </w:rPr>
        <w:t>uhan</w:t>
      </w:r>
      <w:proofErr w:type="spellEnd"/>
      <w:r>
        <w:rPr>
          <w:rFonts w:ascii="Arial" w:hAnsi="Arial" w:cs="Arial"/>
          <w:sz w:val="24"/>
          <w:szCs w:val="24"/>
          <w:lang w:val="en-US"/>
        </w:rPr>
        <w:t xml:space="preserve"> </w:t>
      </w:r>
      <w:proofErr w:type="spellStart"/>
      <w:r>
        <w:rPr>
          <w:rFonts w:ascii="Arial" w:hAnsi="Arial" w:cs="Arial"/>
          <w:sz w:val="24"/>
          <w:szCs w:val="24"/>
          <w:lang w:val="en-US"/>
        </w:rPr>
        <w:t>identifikasi</w:t>
      </w:r>
      <w:proofErr w:type="spellEnd"/>
      <w:r>
        <w:rPr>
          <w:rFonts w:ascii="Arial" w:hAnsi="Arial" w:cs="Arial"/>
          <w:sz w:val="24"/>
          <w:szCs w:val="24"/>
          <w:lang w:val="en-US"/>
        </w:rPr>
        <w:t xml:space="preserve"> </w:t>
      </w:r>
      <w:proofErr w:type="spellStart"/>
      <w:r>
        <w:rPr>
          <w:rFonts w:ascii="Arial" w:hAnsi="Arial" w:cs="Arial"/>
          <w:sz w:val="24"/>
          <w:szCs w:val="24"/>
          <w:lang w:val="en-US"/>
        </w:rPr>
        <w:t>pasien</w:t>
      </w:r>
      <w:proofErr w:type="spellEnd"/>
      <w:r>
        <w:rPr>
          <w:rFonts w:ascii="Arial" w:hAnsi="Arial" w:cs="Arial"/>
          <w:sz w:val="24"/>
          <w:szCs w:val="24"/>
          <w:lang w:val="en-US"/>
        </w:rPr>
        <w:t xml:space="preserve"> </w:t>
      </w:r>
      <w:r w:rsidRPr="00E730EF">
        <w:rPr>
          <w:rFonts w:ascii="Arial" w:eastAsia="Times New Roman" w:hAnsi="Arial" w:cs="Arial"/>
          <w:sz w:val="24"/>
          <w:szCs w:val="24"/>
          <w:lang w:eastAsia="id-ID"/>
        </w:rPr>
        <w:t>adalah proses pengecekan identitas pasien menggunakan minimal 2 identitas dari 3 identitas yang tercantum pada gelang, label atau bentuk identitas lainnya sebelum memberikan pelayanan sesuai dengan regulasi yang berlaku di rumah sakit.</w:t>
      </w:r>
      <w:r>
        <w:rPr>
          <w:rFonts w:ascii="Arial" w:eastAsia="Times New Roman" w:hAnsi="Arial" w:cs="Arial"/>
          <w:sz w:val="24"/>
          <w:szCs w:val="24"/>
          <w:lang w:val="en-US" w:eastAsia="id-ID"/>
        </w:rPr>
        <w:t xml:space="preserve">Dari data </w:t>
      </w:r>
      <w:proofErr w:type="spellStart"/>
      <w:r>
        <w:rPr>
          <w:rFonts w:ascii="Arial" w:eastAsia="Times New Roman" w:hAnsi="Arial" w:cs="Arial"/>
          <w:sz w:val="24"/>
          <w:szCs w:val="24"/>
          <w:lang w:val="en-US" w:eastAsia="id-ID"/>
        </w:rPr>
        <w:t>di</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atas</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menunjukkan</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capaian</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kepatuhan</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identifikasi</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pasien</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mencapai</w:t>
      </w:r>
      <w:proofErr w:type="spellEnd"/>
      <w:r>
        <w:rPr>
          <w:rFonts w:ascii="Arial" w:eastAsia="Times New Roman" w:hAnsi="Arial" w:cs="Arial"/>
          <w:sz w:val="24"/>
          <w:szCs w:val="24"/>
          <w:lang w:val="en-US" w:eastAsia="id-ID"/>
        </w:rPr>
        <w:t xml:space="preserve"> rata-rata 99%, </w:t>
      </w:r>
      <w:proofErr w:type="spellStart"/>
      <w:r>
        <w:rPr>
          <w:rFonts w:ascii="Arial" w:eastAsia="Times New Roman" w:hAnsi="Arial" w:cs="Arial"/>
          <w:sz w:val="24"/>
          <w:szCs w:val="24"/>
          <w:lang w:val="en-US" w:eastAsia="id-ID"/>
        </w:rPr>
        <w:t>walaupun</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masih</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di</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bawah</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standart</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yaitu</w:t>
      </w:r>
      <w:proofErr w:type="spellEnd"/>
      <w:r>
        <w:rPr>
          <w:rFonts w:ascii="Arial" w:eastAsia="Times New Roman" w:hAnsi="Arial" w:cs="Arial"/>
          <w:sz w:val="24"/>
          <w:szCs w:val="24"/>
          <w:lang w:val="en-US" w:eastAsia="id-ID"/>
        </w:rPr>
        <w:t xml:space="preserve"> 100%. </w:t>
      </w:r>
      <w:proofErr w:type="spellStart"/>
      <w:proofErr w:type="gramStart"/>
      <w:r>
        <w:rPr>
          <w:rFonts w:ascii="Arial" w:eastAsia="Times New Roman" w:hAnsi="Arial" w:cs="Arial"/>
          <w:sz w:val="24"/>
          <w:szCs w:val="24"/>
          <w:lang w:val="en-US" w:eastAsia="id-ID"/>
        </w:rPr>
        <w:t>Rencana</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tindak</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lanjutnya</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adalah</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melakukan</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sosialisasi</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lagi</w:t>
      </w:r>
      <w:proofErr w:type="spellEnd"/>
      <w:r>
        <w:rPr>
          <w:rFonts w:ascii="Arial" w:eastAsia="Times New Roman" w:hAnsi="Arial" w:cs="Arial"/>
          <w:sz w:val="24"/>
          <w:szCs w:val="24"/>
          <w:lang w:val="en-US" w:eastAsia="id-ID"/>
        </w:rPr>
        <w:t xml:space="preserve"> </w:t>
      </w:r>
      <w:proofErr w:type="spellStart"/>
      <w:r>
        <w:rPr>
          <w:rFonts w:ascii="Arial" w:eastAsia="Times New Roman" w:hAnsi="Arial" w:cs="Arial"/>
          <w:sz w:val="24"/>
          <w:szCs w:val="24"/>
          <w:lang w:val="en-US" w:eastAsia="id-ID"/>
        </w:rPr>
        <w:t>kepada</w:t>
      </w:r>
      <w:proofErr w:type="spellEnd"/>
      <w:r>
        <w:rPr>
          <w:rFonts w:ascii="Arial" w:eastAsia="Times New Roman" w:hAnsi="Arial" w:cs="Arial"/>
          <w:sz w:val="24"/>
          <w:szCs w:val="24"/>
          <w:lang w:val="en-US" w:eastAsia="id-ID"/>
        </w:rPr>
        <w:t xml:space="preserve"> unit </w:t>
      </w:r>
      <w:proofErr w:type="spellStart"/>
      <w:r>
        <w:rPr>
          <w:rFonts w:ascii="Arial" w:eastAsia="Times New Roman" w:hAnsi="Arial" w:cs="Arial"/>
          <w:sz w:val="24"/>
          <w:szCs w:val="24"/>
          <w:lang w:val="en-US" w:eastAsia="id-ID"/>
        </w:rPr>
        <w:t>terkait</w:t>
      </w:r>
      <w:proofErr w:type="spellEnd"/>
      <w:r>
        <w:rPr>
          <w:rFonts w:ascii="Arial" w:eastAsia="Times New Roman" w:hAnsi="Arial" w:cs="Arial"/>
          <w:sz w:val="24"/>
          <w:szCs w:val="24"/>
          <w:lang w:val="en-US" w:eastAsia="id-ID"/>
        </w:rPr>
        <w:t xml:space="preserve"> </w:t>
      </w:r>
      <w:r>
        <w:rPr>
          <w:rFonts w:ascii="Arial" w:eastAsia="Times New Roman" w:hAnsi="Arial" w:cs="Arial"/>
          <w:sz w:val="24"/>
          <w:szCs w:val="24"/>
          <w:lang w:eastAsia="id-ID"/>
        </w:rPr>
        <w:t xml:space="preserve">tentang pentingnya identifikasi pasien </w:t>
      </w:r>
      <w:r>
        <w:rPr>
          <w:rFonts w:ascii="Arial" w:eastAsia="Times New Roman" w:hAnsi="Arial" w:cs="Arial"/>
          <w:sz w:val="24"/>
          <w:szCs w:val="24"/>
          <w:lang w:val="en-US" w:eastAsia="id-ID"/>
        </w:rPr>
        <w:t xml:space="preserve">agar </w:t>
      </w:r>
      <w:proofErr w:type="spellStart"/>
      <w:r>
        <w:rPr>
          <w:rFonts w:ascii="Arial" w:eastAsia="Times New Roman" w:hAnsi="Arial" w:cs="Arial"/>
          <w:sz w:val="24"/>
          <w:szCs w:val="24"/>
          <w:lang w:val="en-US" w:eastAsia="id-ID"/>
        </w:rPr>
        <w:t>kepatuhan</w:t>
      </w:r>
      <w:proofErr w:type="spellEnd"/>
      <w:r>
        <w:rPr>
          <w:rFonts w:ascii="Arial" w:eastAsia="Times New Roman" w:hAnsi="Arial" w:cs="Arial"/>
          <w:sz w:val="24"/>
          <w:szCs w:val="24"/>
          <w:lang w:eastAsia="id-ID"/>
        </w:rPr>
        <w:t xml:space="preserve"> </w:t>
      </w:r>
      <w:proofErr w:type="spellStart"/>
      <w:r>
        <w:rPr>
          <w:rFonts w:ascii="Arial" w:eastAsia="Times New Roman" w:hAnsi="Arial" w:cs="Arial"/>
          <w:sz w:val="24"/>
          <w:szCs w:val="24"/>
          <w:lang w:val="en-US" w:eastAsia="id-ID"/>
        </w:rPr>
        <w:t>identifikasi</w:t>
      </w:r>
      <w:proofErr w:type="spellEnd"/>
      <w:r>
        <w:rPr>
          <w:rFonts w:ascii="Arial" w:eastAsia="Times New Roman" w:hAnsi="Arial" w:cs="Arial"/>
          <w:sz w:val="24"/>
          <w:szCs w:val="24"/>
          <w:lang w:eastAsia="id-ID"/>
        </w:rPr>
        <w:t xml:space="preserve"> </w:t>
      </w:r>
      <w:r>
        <w:rPr>
          <w:rFonts w:ascii="Arial" w:eastAsia="Times New Roman" w:hAnsi="Arial" w:cs="Arial"/>
          <w:sz w:val="24"/>
          <w:szCs w:val="24"/>
          <w:lang w:val="en-US" w:eastAsia="id-ID"/>
        </w:rPr>
        <w:t>bi</w:t>
      </w:r>
      <w:r>
        <w:rPr>
          <w:rFonts w:ascii="Arial" w:eastAsia="Times New Roman" w:hAnsi="Arial" w:cs="Arial"/>
          <w:sz w:val="24"/>
          <w:szCs w:val="24"/>
          <w:lang w:eastAsia="id-ID"/>
        </w:rPr>
        <w:t>sa</w:t>
      </w:r>
      <w:r>
        <w:rPr>
          <w:rFonts w:ascii="Arial" w:eastAsia="Times New Roman" w:hAnsi="Arial" w:cs="Arial"/>
          <w:sz w:val="24"/>
          <w:szCs w:val="24"/>
          <w:lang w:val="en-US" w:eastAsia="id-ID"/>
        </w:rPr>
        <w:t>100%.</w:t>
      </w:r>
      <w:proofErr w:type="gramEnd"/>
    </w:p>
    <w:p w:rsidR="004C5557" w:rsidRPr="003670BE" w:rsidRDefault="004C5557" w:rsidP="004C5557">
      <w:pPr>
        <w:spacing w:after="0" w:line="360" w:lineRule="auto"/>
        <w:jc w:val="both"/>
        <w:rPr>
          <w:rFonts w:ascii="Arial" w:hAnsi="Arial" w:cs="Arial"/>
          <w:sz w:val="24"/>
          <w:szCs w:val="24"/>
        </w:rPr>
      </w:pPr>
    </w:p>
    <w:p w:rsidR="004C5557" w:rsidRPr="004154F5" w:rsidRDefault="004C5557" w:rsidP="004C5557">
      <w:pPr>
        <w:spacing w:after="0" w:line="360" w:lineRule="auto"/>
        <w:ind w:left="426" w:hanging="426"/>
        <w:rPr>
          <w:rFonts w:ascii="Arial" w:hAnsi="Arial" w:cs="Arial"/>
          <w:b/>
          <w:sz w:val="24"/>
          <w:szCs w:val="24"/>
          <w:lang w:val="en-US"/>
        </w:rPr>
      </w:pPr>
      <w:r w:rsidRPr="00EE73F2">
        <w:rPr>
          <w:rFonts w:ascii="Arial" w:hAnsi="Arial" w:cs="Arial"/>
          <w:b/>
          <w:sz w:val="24"/>
          <w:szCs w:val="24"/>
        </w:rPr>
        <w:t xml:space="preserve">Pemantauan Indikator Mutu </w:t>
      </w:r>
      <w:proofErr w:type="spellStart"/>
      <w:r>
        <w:rPr>
          <w:rFonts w:ascii="Arial" w:hAnsi="Arial" w:cs="Arial"/>
          <w:b/>
          <w:sz w:val="24"/>
          <w:szCs w:val="24"/>
          <w:lang w:val="en-US"/>
        </w:rPr>
        <w:t>Klinis</w:t>
      </w:r>
      <w:proofErr w:type="spellEnd"/>
      <w:r>
        <w:rPr>
          <w:rFonts w:ascii="Arial" w:hAnsi="Arial" w:cs="Arial"/>
          <w:b/>
          <w:sz w:val="24"/>
          <w:szCs w:val="24"/>
          <w:lang w:val="en-US"/>
        </w:rPr>
        <w:t xml:space="preserve"> </w:t>
      </w:r>
      <w:proofErr w:type="spellStart"/>
      <w:r>
        <w:rPr>
          <w:rFonts w:ascii="Arial" w:hAnsi="Arial" w:cs="Arial"/>
          <w:b/>
          <w:sz w:val="24"/>
          <w:szCs w:val="24"/>
          <w:lang w:val="en-US"/>
        </w:rPr>
        <w:t>Prioritas</w:t>
      </w:r>
      <w:proofErr w:type="spellEnd"/>
    </w:p>
    <w:p w:rsidR="004C5557" w:rsidRPr="001D53B9" w:rsidRDefault="004C5557" w:rsidP="004C5557">
      <w:pPr>
        <w:tabs>
          <w:tab w:val="left" w:pos="1089"/>
        </w:tabs>
        <w:rPr>
          <w:rFonts w:ascii="Arial" w:hAnsi="Arial" w:cs="Arial"/>
          <w:sz w:val="24"/>
          <w:szCs w:val="24"/>
          <w:lang w:val="en-US"/>
        </w:rPr>
      </w:pPr>
      <w:r w:rsidRPr="001D53B9">
        <w:rPr>
          <w:rFonts w:ascii="Arial" w:hAnsi="Arial" w:cs="Arial"/>
          <w:sz w:val="24"/>
          <w:szCs w:val="24"/>
        </w:rPr>
        <w:t>Indikator Area Klinik</w:t>
      </w:r>
    </w:p>
    <w:p w:rsidR="004C5557" w:rsidRPr="001D53B9" w:rsidRDefault="004C5557" w:rsidP="004C5557">
      <w:pPr>
        <w:spacing w:line="360" w:lineRule="auto"/>
        <w:rPr>
          <w:rFonts w:ascii="Arial" w:hAnsi="Arial" w:cs="Arial"/>
          <w:sz w:val="24"/>
          <w:szCs w:val="24"/>
          <w:lang w:val="en-US"/>
        </w:rPr>
      </w:pPr>
      <w:r w:rsidRPr="001D53B9">
        <w:rPr>
          <w:rFonts w:ascii="Arial" w:hAnsi="Arial" w:cs="Arial"/>
          <w:sz w:val="24"/>
          <w:szCs w:val="24"/>
          <w:lang w:val="en-US"/>
        </w:rPr>
        <w:t xml:space="preserve">1. </w:t>
      </w:r>
      <w:r w:rsidRPr="001D53B9">
        <w:rPr>
          <w:rFonts w:ascii="Arial" w:hAnsi="Arial" w:cs="Arial"/>
          <w:sz w:val="24"/>
          <w:szCs w:val="24"/>
        </w:rPr>
        <w:t>Pemberian loading dose aspilet dan clopidogrel pada pasien STEMI dan NSTEMI (IGD)</w:t>
      </w:r>
    </w:p>
    <w:p w:rsidR="004C5557" w:rsidRPr="00EF2F89" w:rsidRDefault="004C5557" w:rsidP="004C5557">
      <w:pPr>
        <w:spacing w:line="360" w:lineRule="auto"/>
        <w:rPr>
          <w:rFonts w:ascii="Arial" w:hAnsi="Arial" w:cs="Arial"/>
          <w:lang w:val="en-US"/>
        </w:rPr>
      </w:pPr>
      <w:r>
        <w:rPr>
          <w:rFonts w:ascii="Arial" w:hAnsi="Arial" w:cs="Arial"/>
          <w:noProof/>
          <w:lang w:eastAsia="id-ID"/>
        </w:rPr>
        <w:lastRenderedPageBreak/>
        <w:drawing>
          <wp:inline distT="0" distB="0" distL="0" distR="0">
            <wp:extent cx="5419725" cy="2266950"/>
            <wp:effectExtent l="19050" t="0" r="952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C5557" w:rsidRDefault="004C5557" w:rsidP="004C5557">
      <w:pPr>
        <w:spacing w:after="0" w:line="360" w:lineRule="auto"/>
        <w:jc w:val="both"/>
        <w:rPr>
          <w:rFonts w:ascii="Arial" w:hAnsi="Arial" w:cs="Arial"/>
          <w:sz w:val="24"/>
          <w:szCs w:val="24"/>
        </w:rPr>
      </w:pPr>
      <w:r w:rsidRPr="001D53B9">
        <w:rPr>
          <w:rFonts w:ascii="Arial" w:hAnsi="Arial" w:cs="Arial"/>
          <w:sz w:val="24"/>
          <w:szCs w:val="24"/>
        </w:rPr>
        <w:t>Pemberian loading dose aspilet dan clopidogrel pada pasien STEMI dan NSTEMI (IGD)adalah pemberian dosis minimal yang diberikan pada pasien yaitu aspilet 160 mg dan CPG 150 mg</w:t>
      </w:r>
      <w:r>
        <w:rPr>
          <w:rFonts w:ascii="Arial" w:hAnsi="Arial" w:cs="Arial"/>
          <w:sz w:val="24"/>
          <w:szCs w:val="24"/>
          <w:lang w:val="en-US"/>
        </w:rPr>
        <w:t xml:space="preserve"> yang </w:t>
      </w:r>
      <w:proofErr w:type="spellStart"/>
      <w:r>
        <w:rPr>
          <w:rFonts w:ascii="Arial" w:hAnsi="Arial" w:cs="Arial"/>
          <w:sz w:val="24"/>
          <w:szCs w:val="24"/>
          <w:lang w:val="en-US"/>
        </w:rPr>
        <w:t>dilakukan</w:t>
      </w:r>
      <w:proofErr w:type="spellEnd"/>
      <w:r>
        <w:rPr>
          <w:rFonts w:ascii="Arial" w:hAnsi="Arial" w:cs="Arial"/>
          <w:sz w:val="24"/>
          <w:szCs w:val="24"/>
          <w:lang w:val="en-US"/>
        </w:rPr>
        <w:t xml:space="preserve"> </w:t>
      </w:r>
      <w:proofErr w:type="spellStart"/>
      <w:r>
        <w:rPr>
          <w:rFonts w:ascii="Arial" w:hAnsi="Arial" w:cs="Arial"/>
          <w:sz w:val="24"/>
          <w:szCs w:val="24"/>
          <w:lang w:val="en-US"/>
        </w:rPr>
        <w:t>di</w:t>
      </w:r>
      <w:proofErr w:type="spellEnd"/>
      <w:r>
        <w:rPr>
          <w:rFonts w:ascii="Arial" w:hAnsi="Arial" w:cs="Arial"/>
          <w:sz w:val="24"/>
          <w:szCs w:val="24"/>
          <w:lang w:val="en-US"/>
        </w:rPr>
        <w:t xml:space="preserve"> IGD. </w:t>
      </w:r>
      <w:r w:rsidRPr="001D53B9">
        <w:rPr>
          <w:rFonts w:ascii="Arial" w:hAnsi="Arial" w:cs="Arial"/>
          <w:sz w:val="24"/>
          <w:szCs w:val="24"/>
        </w:rPr>
        <w:t>Pasien STEMI dan NSTEMI adalah pasien yang mengalami serangan jantung yang ditunjukkan dengan bentuk EKG yaitu adanya ST elevasi  yang khas untuk pasien STEMI dan adanya ST depresi atau T inverted  yang akut untuk pasien NSTEMI</w:t>
      </w:r>
      <w:r>
        <w:rPr>
          <w:rFonts w:ascii="Arial" w:hAnsi="Arial" w:cs="Arial"/>
          <w:sz w:val="24"/>
          <w:szCs w:val="24"/>
          <w:lang w:val="en-US"/>
        </w:rPr>
        <w:t xml:space="preserve">. </w:t>
      </w:r>
      <w:proofErr w:type="gramStart"/>
      <w:r>
        <w:rPr>
          <w:rFonts w:ascii="Arial" w:hAnsi="Arial" w:cs="Arial"/>
          <w:sz w:val="24"/>
          <w:szCs w:val="24"/>
          <w:lang w:val="en-US"/>
        </w:rPr>
        <w:t xml:space="preserve">Dari data </w:t>
      </w:r>
      <w:proofErr w:type="spellStart"/>
      <w:r>
        <w:rPr>
          <w:rFonts w:ascii="Arial" w:hAnsi="Arial" w:cs="Arial"/>
          <w:sz w:val="24"/>
          <w:szCs w:val="24"/>
          <w:lang w:val="en-US"/>
        </w:rPr>
        <w:t>di</w:t>
      </w:r>
      <w:proofErr w:type="spellEnd"/>
      <w:r>
        <w:rPr>
          <w:rFonts w:ascii="Arial" w:hAnsi="Arial" w:cs="Arial"/>
          <w:sz w:val="24"/>
          <w:szCs w:val="24"/>
          <w:lang w:val="en-US"/>
        </w:rPr>
        <w:t xml:space="preserve"> </w:t>
      </w:r>
      <w:proofErr w:type="spellStart"/>
      <w:r>
        <w:rPr>
          <w:rFonts w:ascii="Arial" w:hAnsi="Arial" w:cs="Arial"/>
          <w:sz w:val="24"/>
          <w:szCs w:val="24"/>
          <w:lang w:val="en-US"/>
        </w:rPr>
        <w:t>atas</w:t>
      </w:r>
      <w:proofErr w:type="spellEnd"/>
      <w:r>
        <w:rPr>
          <w:rFonts w:ascii="Arial" w:hAnsi="Arial" w:cs="Arial"/>
          <w:sz w:val="24"/>
          <w:szCs w:val="24"/>
          <w:lang w:val="en-US"/>
        </w:rPr>
        <w:t xml:space="preserve"> </w:t>
      </w:r>
      <w:proofErr w:type="spellStart"/>
      <w:r>
        <w:rPr>
          <w:rFonts w:ascii="Arial" w:hAnsi="Arial" w:cs="Arial"/>
          <w:sz w:val="24"/>
          <w:szCs w:val="24"/>
          <w:lang w:val="en-US"/>
        </w:rPr>
        <w:t>menunjukkan</w:t>
      </w:r>
      <w:proofErr w:type="spellEnd"/>
      <w:r>
        <w:rPr>
          <w:rFonts w:ascii="Arial" w:hAnsi="Arial" w:cs="Arial"/>
          <w:sz w:val="24"/>
          <w:szCs w:val="24"/>
          <w:lang w:val="en-US"/>
        </w:rPr>
        <w:t xml:space="preserve"> data </w:t>
      </w:r>
      <w:proofErr w:type="spellStart"/>
      <w:r>
        <w:rPr>
          <w:rFonts w:ascii="Arial" w:hAnsi="Arial" w:cs="Arial"/>
          <w:sz w:val="24"/>
          <w:szCs w:val="24"/>
          <w:lang w:val="en-US"/>
        </w:rPr>
        <w:t>baru</w:t>
      </w:r>
      <w:proofErr w:type="spellEnd"/>
      <w:r>
        <w:rPr>
          <w:rFonts w:ascii="Arial" w:hAnsi="Arial" w:cs="Arial"/>
          <w:sz w:val="24"/>
          <w:szCs w:val="24"/>
          <w:lang w:val="en-US"/>
        </w:rPr>
        <w:t xml:space="preserve"> </w:t>
      </w:r>
      <w:proofErr w:type="spellStart"/>
      <w:r>
        <w:rPr>
          <w:rFonts w:ascii="Arial" w:hAnsi="Arial" w:cs="Arial"/>
          <w:sz w:val="24"/>
          <w:szCs w:val="24"/>
          <w:lang w:val="en-US"/>
        </w:rPr>
        <w:t>terkumpul</w:t>
      </w:r>
      <w:proofErr w:type="spellEnd"/>
      <w:r>
        <w:rPr>
          <w:rFonts w:ascii="Arial" w:hAnsi="Arial" w:cs="Arial"/>
          <w:sz w:val="24"/>
          <w:szCs w:val="24"/>
          <w:lang w:val="en-US"/>
        </w:rPr>
        <w:t xml:space="preserve"> </w:t>
      </w:r>
      <w:proofErr w:type="spellStart"/>
      <w:r>
        <w:rPr>
          <w:rFonts w:ascii="Arial" w:hAnsi="Arial" w:cs="Arial"/>
          <w:sz w:val="24"/>
          <w:szCs w:val="24"/>
          <w:lang w:val="en-US"/>
        </w:rPr>
        <w:t>pada</w:t>
      </w:r>
      <w:proofErr w:type="spellEnd"/>
      <w:r>
        <w:rPr>
          <w:rFonts w:ascii="Arial" w:hAnsi="Arial" w:cs="Arial"/>
          <w:sz w:val="24"/>
          <w:szCs w:val="24"/>
          <w:lang w:val="en-US"/>
        </w:rPr>
        <w:t xml:space="preserve"> </w:t>
      </w:r>
      <w:proofErr w:type="spellStart"/>
      <w:r>
        <w:rPr>
          <w:rFonts w:ascii="Arial" w:hAnsi="Arial" w:cs="Arial"/>
          <w:sz w:val="24"/>
          <w:szCs w:val="24"/>
          <w:lang w:val="en-US"/>
        </w:rPr>
        <w:t>bulan</w:t>
      </w:r>
      <w:proofErr w:type="spellEnd"/>
      <w:r>
        <w:rPr>
          <w:rFonts w:ascii="Arial" w:hAnsi="Arial" w:cs="Arial"/>
          <w:sz w:val="24"/>
          <w:szCs w:val="24"/>
          <w:lang w:val="en-US"/>
        </w:rPr>
        <w:t xml:space="preserve"> </w:t>
      </w:r>
      <w:proofErr w:type="spellStart"/>
      <w:r>
        <w:rPr>
          <w:rFonts w:ascii="Arial" w:hAnsi="Arial" w:cs="Arial"/>
          <w:sz w:val="24"/>
          <w:szCs w:val="24"/>
          <w:lang w:val="en-US"/>
        </w:rPr>
        <w:t>Nopember</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roofErr w:type="spellStart"/>
      <w:r>
        <w:rPr>
          <w:rFonts w:ascii="Arial" w:hAnsi="Arial" w:cs="Arial"/>
          <w:sz w:val="24"/>
          <w:szCs w:val="24"/>
          <w:lang w:val="en-US"/>
        </w:rPr>
        <w:t>Desember</w:t>
      </w:r>
      <w:proofErr w:type="spellEnd"/>
      <w:r>
        <w:rPr>
          <w:rFonts w:ascii="Arial" w:hAnsi="Arial" w:cs="Arial"/>
          <w:sz w:val="24"/>
          <w:szCs w:val="24"/>
          <w:lang w:val="en-US"/>
        </w:rPr>
        <w:t xml:space="preserve"> </w:t>
      </w:r>
      <w:proofErr w:type="spellStart"/>
      <w:r>
        <w:rPr>
          <w:rFonts w:ascii="Arial" w:hAnsi="Arial" w:cs="Arial"/>
          <w:sz w:val="24"/>
          <w:szCs w:val="24"/>
          <w:lang w:val="en-US"/>
        </w:rPr>
        <w:t>dikarenakan</w:t>
      </w:r>
      <w:proofErr w:type="spellEnd"/>
      <w:r>
        <w:rPr>
          <w:rFonts w:ascii="Arial" w:hAnsi="Arial" w:cs="Arial"/>
          <w:sz w:val="24"/>
          <w:szCs w:val="24"/>
          <w:lang w:val="en-US"/>
        </w:rPr>
        <w:t xml:space="preserve"> </w:t>
      </w:r>
      <w:proofErr w:type="spellStart"/>
      <w:r>
        <w:rPr>
          <w:rFonts w:ascii="Arial" w:hAnsi="Arial" w:cs="Arial"/>
          <w:sz w:val="24"/>
          <w:szCs w:val="24"/>
          <w:lang w:val="en-US"/>
        </w:rPr>
        <w:t>pemilihan</w:t>
      </w:r>
      <w:proofErr w:type="spellEnd"/>
      <w:r>
        <w:rPr>
          <w:rFonts w:ascii="Arial" w:hAnsi="Arial" w:cs="Arial"/>
          <w:sz w:val="24"/>
          <w:szCs w:val="24"/>
          <w:lang w:val="en-US"/>
        </w:rPr>
        <w:t xml:space="preserve"> </w:t>
      </w:r>
      <w:proofErr w:type="spellStart"/>
      <w:r>
        <w:rPr>
          <w:rFonts w:ascii="Arial" w:hAnsi="Arial" w:cs="Arial"/>
          <w:sz w:val="24"/>
          <w:szCs w:val="24"/>
          <w:lang w:val="en-US"/>
        </w:rPr>
        <w:t>klinis</w:t>
      </w:r>
      <w:proofErr w:type="spellEnd"/>
      <w:r>
        <w:rPr>
          <w:rFonts w:ascii="Arial" w:hAnsi="Arial" w:cs="Arial"/>
          <w:sz w:val="24"/>
          <w:szCs w:val="24"/>
          <w:lang w:val="en-US"/>
        </w:rPr>
        <w:t xml:space="preserve"> </w:t>
      </w:r>
      <w:proofErr w:type="spellStart"/>
      <w:r>
        <w:rPr>
          <w:rFonts w:ascii="Arial" w:hAnsi="Arial" w:cs="Arial"/>
          <w:sz w:val="24"/>
          <w:szCs w:val="24"/>
          <w:lang w:val="en-US"/>
        </w:rPr>
        <w:t>prioritas</w:t>
      </w:r>
      <w:proofErr w:type="spellEnd"/>
      <w:r>
        <w:rPr>
          <w:rFonts w:ascii="Arial" w:hAnsi="Arial" w:cs="Arial"/>
          <w:sz w:val="24"/>
          <w:szCs w:val="24"/>
          <w:lang w:val="en-US"/>
        </w:rPr>
        <w:t xml:space="preserve"> </w:t>
      </w:r>
      <w:proofErr w:type="spellStart"/>
      <w:r>
        <w:rPr>
          <w:rFonts w:ascii="Arial" w:hAnsi="Arial" w:cs="Arial"/>
          <w:sz w:val="24"/>
          <w:szCs w:val="24"/>
          <w:lang w:val="en-US"/>
        </w:rPr>
        <w:t>baru</w:t>
      </w:r>
      <w:proofErr w:type="spellEnd"/>
      <w:r>
        <w:rPr>
          <w:rFonts w:ascii="Arial" w:hAnsi="Arial" w:cs="Arial"/>
          <w:sz w:val="24"/>
          <w:szCs w:val="24"/>
          <w:lang w:val="en-US"/>
        </w:rPr>
        <w:t xml:space="preserve"> </w:t>
      </w:r>
      <w:proofErr w:type="spellStart"/>
      <w:r>
        <w:rPr>
          <w:rFonts w:ascii="Arial" w:hAnsi="Arial" w:cs="Arial"/>
          <w:sz w:val="24"/>
          <w:szCs w:val="24"/>
          <w:lang w:val="en-US"/>
        </w:rPr>
        <w:t>diputuskan</w:t>
      </w:r>
      <w:proofErr w:type="spellEnd"/>
      <w:r>
        <w:rPr>
          <w:rFonts w:ascii="Arial" w:hAnsi="Arial" w:cs="Arial"/>
          <w:sz w:val="24"/>
          <w:szCs w:val="24"/>
          <w:lang w:val="en-US"/>
        </w:rPr>
        <w:t xml:space="preserve"> </w:t>
      </w:r>
      <w:proofErr w:type="spellStart"/>
      <w:r>
        <w:rPr>
          <w:rFonts w:ascii="Arial" w:hAnsi="Arial" w:cs="Arial"/>
          <w:sz w:val="24"/>
          <w:szCs w:val="24"/>
          <w:lang w:val="en-US"/>
        </w:rPr>
        <w:t>pada</w:t>
      </w:r>
      <w:proofErr w:type="spellEnd"/>
      <w:r>
        <w:rPr>
          <w:rFonts w:ascii="Arial" w:hAnsi="Arial" w:cs="Arial"/>
          <w:sz w:val="24"/>
          <w:szCs w:val="24"/>
          <w:lang w:val="en-US"/>
        </w:rPr>
        <w:t xml:space="preserve"> </w:t>
      </w:r>
      <w:proofErr w:type="spellStart"/>
      <w:r>
        <w:rPr>
          <w:rFonts w:ascii="Arial" w:hAnsi="Arial" w:cs="Arial"/>
          <w:sz w:val="24"/>
          <w:szCs w:val="24"/>
          <w:lang w:val="en-US"/>
        </w:rPr>
        <w:t>bulan</w:t>
      </w:r>
      <w:proofErr w:type="spellEnd"/>
      <w:r>
        <w:rPr>
          <w:rFonts w:ascii="Arial" w:hAnsi="Arial" w:cs="Arial"/>
          <w:sz w:val="24"/>
          <w:szCs w:val="24"/>
          <w:lang w:val="en-US"/>
        </w:rPr>
        <w:t xml:space="preserve"> </w:t>
      </w:r>
      <w:proofErr w:type="spellStart"/>
      <w:r>
        <w:rPr>
          <w:rFonts w:ascii="Arial" w:hAnsi="Arial" w:cs="Arial"/>
          <w:sz w:val="24"/>
          <w:szCs w:val="24"/>
          <w:lang w:val="en-US"/>
        </w:rPr>
        <w:t>Oktober</w:t>
      </w:r>
      <w:proofErr w:type="spellEnd"/>
      <w:r>
        <w:rPr>
          <w:rFonts w:ascii="Arial" w:hAnsi="Arial" w:cs="Arial"/>
          <w:sz w:val="24"/>
          <w:szCs w:val="24"/>
          <w:lang w:val="en-US"/>
        </w:rPr>
        <w:t xml:space="preserve"> </w:t>
      </w:r>
      <w:proofErr w:type="spellStart"/>
      <w:r>
        <w:rPr>
          <w:rFonts w:ascii="Arial" w:hAnsi="Arial" w:cs="Arial"/>
          <w:sz w:val="24"/>
          <w:szCs w:val="24"/>
          <w:lang w:val="en-US"/>
        </w:rPr>
        <w:t>akhir</w:t>
      </w:r>
      <w:proofErr w:type="spellEnd"/>
      <w:r>
        <w:rPr>
          <w:rFonts w:ascii="Arial" w:hAnsi="Arial" w:cs="Arial"/>
          <w:sz w:val="24"/>
          <w:szCs w:val="24"/>
          <w:lang w:val="en-US"/>
        </w:rPr>
        <w:t>.</w:t>
      </w:r>
      <w:proofErr w:type="gramEnd"/>
      <w:r>
        <w:rPr>
          <w:rFonts w:ascii="Arial" w:hAnsi="Arial" w:cs="Arial"/>
          <w:sz w:val="24"/>
          <w:szCs w:val="24"/>
          <w:lang w:val="en-US"/>
        </w:rPr>
        <w:t xml:space="preserve"> </w:t>
      </w:r>
      <w:proofErr w:type="spellStart"/>
      <w:proofErr w:type="gramStart"/>
      <w:r>
        <w:rPr>
          <w:rFonts w:ascii="Arial" w:hAnsi="Arial" w:cs="Arial"/>
          <w:sz w:val="24"/>
          <w:szCs w:val="24"/>
          <w:lang w:val="en-US"/>
        </w:rPr>
        <w:t>Capaian</w:t>
      </w:r>
      <w:proofErr w:type="spellEnd"/>
      <w:r>
        <w:rPr>
          <w:rFonts w:ascii="Arial" w:hAnsi="Arial" w:cs="Arial"/>
          <w:sz w:val="24"/>
          <w:szCs w:val="24"/>
          <w:lang w:val="en-US"/>
        </w:rPr>
        <w:t xml:space="preserve"> data </w:t>
      </w:r>
      <w:proofErr w:type="spellStart"/>
      <w:r>
        <w:rPr>
          <w:rFonts w:ascii="Arial" w:hAnsi="Arial" w:cs="Arial"/>
          <w:sz w:val="24"/>
          <w:szCs w:val="24"/>
          <w:lang w:val="en-US"/>
        </w:rPr>
        <w:t>mencapai</w:t>
      </w:r>
      <w:proofErr w:type="spellEnd"/>
      <w:r>
        <w:rPr>
          <w:rFonts w:ascii="Arial" w:hAnsi="Arial" w:cs="Arial"/>
          <w:sz w:val="24"/>
          <w:szCs w:val="24"/>
          <w:lang w:val="en-US"/>
        </w:rPr>
        <w:t xml:space="preserve"> 100% </w:t>
      </w:r>
      <w:proofErr w:type="spellStart"/>
      <w:r>
        <w:rPr>
          <w:rFonts w:ascii="Arial" w:hAnsi="Arial" w:cs="Arial"/>
          <w:sz w:val="24"/>
          <w:szCs w:val="24"/>
          <w:lang w:val="en-US"/>
        </w:rPr>
        <w:t>melebihi</w:t>
      </w:r>
      <w:proofErr w:type="spellEnd"/>
      <w:r>
        <w:rPr>
          <w:rFonts w:ascii="Arial" w:hAnsi="Arial" w:cs="Arial"/>
          <w:sz w:val="24"/>
          <w:szCs w:val="24"/>
          <w:lang w:val="en-US"/>
        </w:rPr>
        <w:t xml:space="preserve"> </w:t>
      </w:r>
      <w:proofErr w:type="spellStart"/>
      <w:r>
        <w:rPr>
          <w:rFonts w:ascii="Arial" w:hAnsi="Arial" w:cs="Arial"/>
          <w:sz w:val="24"/>
          <w:szCs w:val="24"/>
          <w:lang w:val="en-US"/>
        </w:rPr>
        <w:t>standart</w:t>
      </w:r>
      <w:proofErr w:type="spellEnd"/>
      <w:r>
        <w:rPr>
          <w:rFonts w:ascii="Arial" w:hAnsi="Arial" w:cs="Arial"/>
          <w:sz w:val="24"/>
          <w:szCs w:val="24"/>
          <w:lang w:val="en-US"/>
        </w:rPr>
        <w:t xml:space="preserve"> yang 80%.</w:t>
      </w:r>
      <w:proofErr w:type="gramEnd"/>
      <w:r>
        <w:rPr>
          <w:rFonts w:ascii="Arial" w:hAnsi="Arial" w:cs="Arial"/>
          <w:sz w:val="24"/>
          <w:szCs w:val="24"/>
          <w:lang w:val="en-US"/>
        </w:rPr>
        <w:t xml:space="preserve"> </w:t>
      </w:r>
      <w:proofErr w:type="spellStart"/>
      <w:proofErr w:type="gramStart"/>
      <w:r>
        <w:rPr>
          <w:rFonts w:ascii="Arial" w:hAnsi="Arial" w:cs="Arial"/>
          <w:sz w:val="24"/>
          <w:szCs w:val="24"/>
          <w:lang w:val="en-US"/>
        </w:rPr>
        <w:t>Rencana</w:t>
      </w:r>
      <w:proofErr w:type="spellEnd"/>
      <w:r>
        <w:rPr>
          <w:rFonts w:ascii="Arial" w:hAnsi="Arial" w:cs="Arial"/>
          <w:sz w:val="24"/>
          <w:szCs w:val="24"/>
          <w:lang w:val="en-US"/>
        </w:rPr>
        <w:t xml:space="preserve"> </w:t>
      </w:r>
      <w:proofErr w:type="spellStart"/>
      <w:r>
        <w:rPr>
          <w:rFonts w:ascii="Arial" w:hAnsi="Arial" w:cs="Arial"/>
          <w:sz w:val="24"/>
          <w:szCs w:val="24"/>
          <w:lang w:val="en-US"/>
        </w:rPr>
        <w:t>tindak</w:t>
      </w:r>
      <w:proofErr w:type="spellEnd"/>
      <w:r>
        <w:rPr>
          <w:rFonts w:ascii="Arial" w:hAnsi="Arial" w:cs="Arial"/>
          <w:sz w:val="24"/>
          <w:szCs w:val="24"/>
          <w:lang w:val="en-US"/>
        </w:rPr>
        <w:t xml:space="preserve"> </w:t>
      </w:r>
      <w:proofErr w:type="spellStart"/>
      <w:r>
        <w:rPr>
          <w:rFonts w:ascii="Arial" w:hAnsi="Arial" w:cs="Arial"/>
          <w:sz w:val="24"/>
          <w:szCs w:val="24"/>
          <w:lang w:val="en-US"/>
        </w:rPr>
        <w:t>lanjut</w:t>
      </w:r>
      <w:proofErr w:type="spellEnd"/>
      <w:r>
        <w:rPr>
          <w:rFonts w:ascii="Arial" w:hAnsi="Arial" w:cs="Arial"/>
          <w:sz w:val="24"/>
          <w:szCs w:val="24"/>
          <w:lang w:val="en-US"/>
        </w:rPr>
        <w:t xml:space="preserve"> </w:t>
      </w:r>
      <w:proofErr w:type="spellStart"/>
      <w:r>
        <w:rPr>
          <w:rFonts w:ascii="Arial" w:hAnsi="Arial" w:cs="Arial"/>
          <w:sz w:val="24"/>
          <w:szCs w:val="24"/>
          <w:lang w:val="en-US"/>
        </w:rPr>
        <w:t>adalah</w:t>
      </w:r>
      <w:proofErr w:type="spellEnd"/>
      <w:r>
        <w:rPr>
          <w:rFonts w:ascii="Arial" w:hAnsi="Arial" w:cs="Arial"/>
          <w:sz w:val="24"/>
          <w:szCs w:val="24"/>
          <w:lang w:val="en-US"/>
        </w:rPr>
        <w:t xml:space="preserve"> </w:t>
      </w:r>
      <w:proofErr w:type="spellStart"/>
      <w:r>
        <w:rPr>
          <w:rFonts w:ascii="Arial" w:hAnsi="Arial" w:cs="Arial"/>
          <w:sz w:val="24"/>
          <w:szCs w:val="24"/>
          <w:lang w:val="en-US"/>
        </w:rPr>
        <w:t>mempertahankan</w:t>
      </w:r>
      <w:proofErr w:type="spellEnd"/>
      <w:r>
        <w:rPr>
          <w:rFonts w:ascii="Arial" w:hAnsi="Arial" w:cs="Arial"/>
          <w:sz w:val="24"/>
          <w:szCs w:val="24"/>
          <w:lang w:val="en-US"/>
        </w:rPr>
        <w:t xml:space="preserve"> </w:t>
      </w:r>
      <w:proofErr w:type="spellStart"/>
      <w:r>
        <w:rPr>
          <w:rFonts w:ascii="Arial" w:hAnsi="Arial" w:cs="Arial"/>
          <w:sz w:val="24"/>
          <w:szCs w:val="24"/>
          <w:lang w:val="en-US"/>
        </w:rPr>
        <w:t>capaian</w:t>
      </w:r>
      <w:proofErr w:type="spellEnd"/>
      <w:r>
        <w:rPr>
          <w:rFonts w:ascii="Arial" w:hAnsi="Arial" w:cs="Arial"/>
          <w:sz w:val="24"/>
          <w:szCs w:val="24"/>
          <w:lang w:val="en-US"/>
        </w:rPr>
        <w:t>.</w:t>
      </w:r>
      <w:proofErr w:type="gramEnd"/>
    </w:p>
    <w:p w:rsidR="004C5557" w:rsidRPr="00573079" w:rsidRDefault="004C5557" w:rsidP="004C5557">
      <w:pPr>
        <w:spacing w:after="0" w:line="360" w:lineRule="auto"/>
        <w:jc w:val="both"/>
        <w:rPr>
          <w:rFonts w:ascii="Arial" w:hAnsi="Arial" w:cs="Arial"/>
          <w:sz w:val="24"/>
          <w:szCs w:val="24"/>
        </w:rPr>
      </w:pPr>
    </w:p>
    <w:p w:rsidR="004C5557" w:rsidRPr="009811C4" w:rsidRDefault="004C5557" w:rsidP="004C5557">
      <w:pPr>
        <w:spacing w:line="360" w:lineRule="auto"/>
        <w:rPr>
          <w:rFonts w:ascii="Arial" w:hAnsi="Arial" w:cs="Arial"/>
          <w:sz w:val="24"/>
          <w:szCs w:val="24"/>
          <w:lang w:val="en-US"/>
        </w:rPr>
      </w:pPr>
      <w:r w:rsidRPr="009811C4">
        <w:rPr>
          <w:rFonts w:ascii="Arial" w:hAnsi="Arial" w:cs="Arial"/>
          <w:sz w:val="24"/>
          <w:szCs w:val="24"/>
          <w:lang w:val="en-US"/>
        </w:rPr>
        <w:t xml:space="preserve">2. </w:t>
      </w:r>
      <w:r w:rsidRPr="009811C4">
        <w:rPr>
          <w:rFonts w:ascii="Arial" w:hAnsi="Arial" w:cs="Arial"/>
          <w:sz w:val="24"/>
          <w:szCs w:val="24"/>
        </w:rPr>
        <w:t>Pemberian Fibrinolisis pada pasien STEMI non PCI (IGD)</w:t>
      </w:r>
    </w:p>
    <w:p w:rsidR="004C5557" w:rsidRPr="00EF2F89" w:rsidRDefault="004C5557" w:rsidP="004C5557">
      <w:pPr>
        <w:spacing w:line="360" w:lineRule="auto"/>
        <w:rPr>
          <w:rFonts w:ascii="Arial" w:hAnsi="Arial" w:cs="Arial"/>
          <w:lang w:val="en-US"/>
        </w:rPr>
      </w:pPr>
      <w:r>
        <w:rPr>
          <w:rFonts w:ascii="Arial" w:hAnsi="Arial" w:cs="Arial"/>
          <w:noProof/>
          <w:lang w:eastAsia="id-ID"/>
        </w:rPr>
        <w:drawing>
          <wp:inline distT="0" distB="0" distL="0" distR="0">
            <wp:extent cx="5476875" cy="2133600"/>
            <wp:effectExtent l="19050" t="0" r="952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C5557" w:rsidRDefault="004C5557" w:rsidP="004C5557">
      <w:pPr>
        <w:spacing w:after="120" w:line="360" w:lineRule="auto"/>
        <w:jc w:val="both"/>
        <w:rPr>
          <w:rFonts w:ascii="Arial" w:hAnsi="Arial" w:cs="Arial"/>
          <w:sz w:val="24"/>
          <w:szCs w:val="24"/>
        </w:rPr>
      </w:pPr>
      <w:r w:rsidRPr="004154F5">
        <w:rPr>
          <w:rFonts w:ascii="Arial" w:hAnsi="Arial" w:cs="Arial"/>
        </w:rPr>
        <w:t>Pem</w:t>
      </w:r>
      <w:r w:rsidRPr="00045221">
        <w:rPr>
          <w:rFonts w:ascii="Arial" w:hAnsi="Arial" w:cs="Arial"/>
          <w:sz w:val="24"/>
          <w:szCs w:val="24"/>
        </w:rPr>
        <w:t>berian Fibrinolisis pada pasien STEMI non PCI (IGD)</w:t>
      </w:r>
      <w:r w:rsidRPr="00045221">
        <w:rPr>
          <w:rFonts w:ascii="Arial" w:hAnsi="Arial" w:cs="Arial"/>
          <w:sz w:val="24"/>
          <w:szCs w:val="24"/>
          <w:lang w:val="en-US"/>
        </w:rPr>
        <w:t xml:space="preserve"> </w:t>
      </w:r>
      <w:proofErr w:type="spellStart"/>
      <w:r w:rsidRPr="00045221">
        <w:rPr>
          <w:rFonts w:ascii="Arial" w:hAnsi="Arial" w:cs="Arial"/>
          <w:sz w:val="24"/>
          <w:szCs w:val="24"/>
          <w:lang w:val="en-US"/>
        </w:rPr>
        <w:t>ada</w:t>
      </w:r>
      <w:r>
        <w:rPr>
          <w:rFonts w:ascii="Arial" w:hAnsi="Arial" w:cs="Arial"/>
          <w:sz w:val="24"/>
          <w:szCs w:val="24"/>
          <w:lang w:val="en-US"/>
        </w:rPr>
        <w:t>lah</w:t>
      </w:r>
      <w:proofErr w:type="spellEnd"/>
      <w:r w:rsidRPr="00045221">
        <w:rPr>
          <w:rFonts w:ascii="Arial" w:hAnsi="Arial" w:cs="Arial"/>
          <w:sz w:val="24"/>
          <w:szCs w:val="24"/>
        </w:rPr>
        <w:t xml:space="preserve"> pemberian obat2an  yang bertujuan melisiskan trombus seperti streptokinase 1,5 jt unit dilarutkan pada 500 ml dekstrose 5%, Alteplase, dan heparin</w:t>
      </w:r>
      <w:r>
        <w:rPr>
          <w:rFonts w:ascii="Arial" w:hAnsi="Arial" w:cs="Arial"/>
          <w:sz w:val="24"/>
          <w:szCs w:val="24"/>
          <w:lang w:val="en-US"/>
        </w:rPr>
        <w:t xml:space="preserve">, yang </w:t>
      </w:r>
      <w:proofErr w:type="spellStart"/>
      <w:r>
        <w:rPr>
          <w:rFonts w:ascii="Arial" w:hAnsi="Arial" w:cs="Arial"/>
          <w:sz w:val="24"/>
          <w:szCs w:val="24"/>
          <w:lang w:val="en-US"/>
        </w:rPr>
        <w:t>dilakukan</w:t>
      </w:r>
      <w:proofErr w:type="spellEnd"/>
      <w:r>
        <w:rPr>
          <w:rFonts w:ascii="Arial" w:hAnsi="Arial" w:cs="Arial"/>
          <w:sz w:val="24"/>
          <w:szCs w:val="24"/>
          <w:lang w:val="en-US"/>
        </w:rPr>
        <w:t xml:space="preserve"> </w:t>
      </w:r>
      <w:proofErr w:type="spellStart"/>
      <w:r>
        <w:rPr>
          <w:rFonts w:ascii="Arial" w:hAnsi="Arial" w:cs="Arial"/>
          <w:sz w:val="24"/>
          <w:szCs w:val="24"/>
          <w:lang w:val="en-US"/>
        </w:rPr>
        <w:t>di</w:t>
      </w:r>
      <w:proofErr w:type="spellEnd"/>
      <w:r>
        <w:rPr>
          <w:rFonts w:ascii="Arial" w:hAnsi="Arial" w:cs="Arial"/>
          <w:sz w:val="24"/>
          <w:szCs w:val="24"/>
          <w:lang w:val="en-US"/>
        </w:rPr>
        <w:t xml:space="preserve"> IGD. </w:t>
      </w:r>
      <w:r w:rsidRPr="00045221">
        <w:rPr>
          <w:rFonts w:ascii="Arial" w:hAnsi="Arial" w:cs="Arial"/>
          <w:sz w:val="24"/>
          <w:szCs w:val="24"/>
        </w:rPr>
        <w:t xml:space="preserve">Pasien STEMI </w:t>
      </w:r>
      <w:r w:rsidRPr="00045221">
        <w:rPr>
          <w:rFonts w:ascii="Arial" w:hAnsi="Arial" w:cs="Arial"/>
          <w:sz w:val="24"/>
          <w:szCs w:val="24"/>
        </w:rPr>
        <w:lastRenderedPageBreak/>
        <w:t>non PCI adalah pasien yang terdiagnosis  STEMI namun berhalangan untuk dilakukan primary PCI (Percutaneus Coronary Intervension/Kateterisasi)</w:t>
      </w:r>
      <w:r>
        <w:rPr>
          <w:rFonts w:ascii="Arial" w:hAnsi="Arial" w:cs="Arial"/>
          <w:sz w:val="24"/>
          <w:szCs w:val="24"/>
          <w:lang w:val="en-US"/>
        </w:rPr>
        <w:t xml:space="preserve">. </w:t>
      </w:r>
      <w:proofErr w:type="spellStart"/>
      <w:r>
        <w:rPr>
          <w:rFonts w:ascii="Arial" w:hAnsi="Arial" w:cs="Arial"/>
          <w:sz w:val="24"/>
          <w:szCs w:val="24"/>
          <w:lang w:val="en-US"/>
        </w:rPr>
        <w:t>Pada</w:t>
      </w:r>
      <w:proofErr w:type="spellEnd"/>
      <w:r>
        <w:rPr>
          <w:rFonts w:ascii="Arial" w:hAnsi="Arial" w:cs="Arial"/>
          <w:sz w:val="24"/>
          <w:szCs w:val="24"/>
          <w:lang w:val="en-US"/>
        </w:rPr>
        <w:t xml:space="preserve"> </w:t>
      </w:r>
      <w:proofErr w:type="spellStart"/>
      <w:r>
        <w:rPr>
          <w:rFonts w:ascii="Arial" w:hAnsi="Arial" w:cs="Arial"/>
          <w:sz w:val="24"/>
          <w:szCs w:val="24"/>
          <w:lang w:val="en-US"/>
        </w:rPr>
        <w:t>bulan</w:t>
      </w:r>
      <w:proofErr w:type="spellEnd"/>
      <w:r>
        <w:rPr>
          <w:rFonts w:ascii="Arial" w:hAnsi="Arial" w:cs="Arial"/>
          <w:sz w:val="24"/>
          <w:szCs w:val="24"/>
          <w:lang w:val="en-US"/>
        </w:rPr>
        <w:t xml:space="preserve"> </w:t>
      </w:r>
      <w:proofErr w:type="spellStart"/>
      <w:r>
        <w:rPr>
          <w:rFonts w:ascii="Arial" w:hAnsi="Arial" w:cs="Arial"/>
          <w:sz w:val="24"/>
          <w:szCs w:val="24"/>
          <w:lang w:val="en-US"/>
        </w:rPr>
        <w:t>Oktober</w:t>
      </w:r>
      <w:proofErr w:type="spellEnd"/>
      <w:r>
        <w:rPr>
          <w:rFonts w:ascii="Arial" w:hAnsi="Arial" w:cs="Arial"/>
          <w:sz w:val="24"/>
          <w:szCs w:val="24"/>
          <w:lang w:val="en-US"/>
        </w:rPr>
        <w:t xml:space="preserve">, </w:t>
      </w:r>
      <w:proofErr w:type="spellStart"/>
      <w:r>
        <w:rPr>
          <w:rFonts w:ascii="Arial" w:hAnsi="Arial" w:cs="Arial"/>
          <w:sz w:val="24"/>
          <w:szCs w:val="24"/>
          <w:lang w:val="en-US"/>
        </w:rPr>
        <w:t>Nopember</w:t>
      </w:r>
      <w:proofErr w:type="spellEnd"/>
      <w:r>
        <w:rPr>
          <w:rFonts w:ascii="Arial" w:hAnsi="Arial" w:cs="Arial"/>
          <w:sz w:val="24"/>
          <w:szCs w:val="24"/>
          <w:lang w:val="en-US"/>
        </w:rPr>
        <w:t xml:space="preserve">, </w:t>
      </w:r>
      <w:proofErr w:type="spellStart"/>
      <w:r>
        <w:rPr>
          <w:rFonts w:ascii="Arial" w:hAnsi="Arial" w:cs="Arial"/>
          <w:sz w:val="24"/>
          <w:szCs w:val="24"/>
          <w:lang w:val="en-US"/>
        </w:rPr>
        <w:t>Desember</w:t>
      </w:r>
      <w:proofErr w:type="spellEnd"/>
      <w:r>
        <w:rPr>
          <w:rFonts w:ascii="Arial" w:hAnsi="Arial" w:cs="Arial"/>
          <w:sz w:val="24"/>
          <w:szCs w:val="24"/>
          <w:lang w:val="en-US"/>
        </w:rPr>
        <w:t xml:space="preserve"> 2019, </w:t>
      </w:r>
      <w:proofErr w:type="spellStart"/>
      <w:r>
        <w:rPr>
          <w:rFonts w:ascii="Arial" w:hAnsi="Arial" w:cs="Arial"/>
          <w:sz w:val="24"/>
          <w:szCs w:val="24"/>
          <w:lang w:val="en-US"/>
        </w:rPr>
        <w:t>pasien</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STEMI non PCI </w:t>
      </w:r>
      <w:proofErr w:type="spellStart"/>
      <w:r>
        <w:rPr>
          <w:rFonts w:ascii="Arial" w:hAnsi="Arial" w:cs="Arial"/>
          <w:sz w:val="24"/>
          <w:szCs w:val="24"/>
          <w:lang w:val="en-US"/>
        </w:rPr>
        <w:t>di</w:t>
      </w:r>
      <w:proofErr w:type="spellEnd"/>
      <w:r>
        <w:rPr>
          <w:rFonts w:ascii="Arial" w:hAnsi="Arial" w:cs="Arial"/>
          <w:sz w:val="24"/>
          <w:szCs w:val="24"/>
          <w:lang w:val="en-US"/>
        </w:rPr>
        <w:t xml:space="preserve"> IGD </w:t>
      </w:r>
      <w:proofErr w:type="spellStart"/>
      <w:r>
        <w:rPr>
          <w:rFonts w:ascii="Arial" w:hAnsi="Arial" w:cs="Arial"/>
          <w:sz w:val="24"/>
          <w:szCs w:val="24"/>
          <w:lang w:val="en-US"/>
        </w:rPr>
        <w:t>kosong</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datanya</w:t>
      </w:r>
      <w:proofErr w:type="spellEnd"/>
      <w:r>
        <w:rPr>
          <w:rFonts w:ascii="Arial" w:hAnsi="Arial" w:cs="Arial"/>
          <w:sz w:val="24"/>
          <w:szCs w:val="24"/>
          <w:lang w:val="en-US"/>
        </w:rPr>
        <w:t xml:space="preserve"> 0. </w:t>
      </w:r>
      <w:proofErr w:type="spellStart"/>
      <w:proofErr w:type="gramStart"/>
      <w:r>
        <w:rPr>
          <w:rFonts w:ascii="Arial" w:hAnsi="Arial" w:cs="Arial"/>
          <w:sz w:val="24"/>
          <w:szCs w:val="24"/>
          <w:lang w:val="en-US"/>
        </w:rPr>
        <w:t>Rencana</w:t>
      </w:r>
      <w:proofErr w:type="spellEnd"/>
      <w:r>
        <w:rPr>
          <w:rFonts w:ascii="Arial" w:hAnsi="Arial" w:cs="Arial"/>
          <w:sz w:val="24"/>
          <w:szCs w:val="24"/>
          <w:lang w:val="en-US"/>
        </w:rPr>
        <w:t xml:space="preserve"> </w:t>
      </w:r>
      <w:proofErr w:type="spellStart"/>
      <w:r>
        <w:rPr>
          <w:rFonts w:ascii="Arial" w:hAnsi="Arial" w:cs="Arial"/>
          <w:sz w:val="24"/>
          <w:szCs w:val="24"/>
          <w:lang w:val="en-US"/>
        </w:rPr>
        <w:t>tindak</w:t>
      </w:r>
      <w:proofErr w:type="spellEnd"/>
      <w:r>
        <w:rPr>
          <w:rFonts w:ascii="Arial" w:hAnsi="Arial" w:cs="Arial"/>
          <w:sz w:val="24"/>
          <w:szCs w:val="24"/>
          <w:lang w:val="en-US"/>
        </w:rPr>
        <w:t xml:space="preserve"> </w:t>
      </w:r>
      <w:proofErr w:type="spellStart"/>
      <w:r>
        <w:rPr>
          <w:rFonts w:ascii="Arial" w:hAnsi="Arial" w:cs="Arial"/>
          <w:sz w:val="24"/>
          <w:szCs w:val="24"/>
          <w:lang w:val="en-US"/>
        </w:rPr>
        <w:t>lanjutnya</w:t>
      </w:r>
      <w:proofErr w:type="spellEnd"/>
      <w:r>
        <w:rPr>
          <w:rFonts w:ascii="Arial" w:hAnsi="Arial" w:cs="Arial"/>
          <w:sz w:val="24"/>
          <w:szCs w:val="24"/>
          <w:lang w:val="en-US"/>
        </w:rPr>
        <w:t xml:space="preserve"> </w:t>
      </w:r>
      <w:proofErr w:type="spellStart"/>
      <w:r>
        <w:rPr>
          <w:rFonts w:ascii="Arial" w:hAnsi="Arial" w:cs="Arial"/>
          <w:sz w:val="24"/>
          <w:szCs w:val="24"/>
          <w:lang w:val="en-US"/>
        </w:rPr>
        <w:t>adalah</w:t>
      </w:r>
      <w:proofErr w:type="spellEnd"/>
      <w:r>
        <w:rPr>
          <w:rFonts w:ascii="Arial" w:hAnsi="Arial" w:cs="Arial"/>
          <w:sz w:val="24"/>
          <w:szCs w:val="24"/>
          <w:lang w:val="en-US"/>
        </w:rPr>
        <w:t xml:space="preserve"> </w:t>
      </w:r>
      <w:proofErr w:type="spellStart"/>
      <w:r>
        <w:rPr>
          <w:rFonts w:ascii="Arial" w:hAnsi="Arial" w:cs="Arial"/>
          <w:sz w:val="24"/>
          <w:szCs w:val="24"/>
          <w:lang w:val="en-US"/>
        </w:rPr>
        <w:t>melaksanakan</w:t>
      </w:r>
      <w:proofErr w:type="spellEnd"/>
      <w:r>
        <w:rPr>
          <w:rFonts w:ascii="Arial" w:hAnsi="Arial" w:cs="Arial"/>
          <w:sz w:val="24"/>
          <w:szCs w:val="24"/>
          <w:lang w:val="en-US"/>
        </w:rPr>
        <w:t xml:space="preserve"> </w:t>
      </w:r>
      <w:proofErr w:type="spellStart"/>
      <w:r>
        <w:rPr>
          <w:rFonts w:ascii="Arial" w:hAnsi="Arial" w:cs="Arial"/>
          <w:sz w:val="24"/>
          <w:szCs w:val="24"/>
          <w:lang w:val="en-US"/>
        </w:rPr>
        <w:t>sesuai</w:t>
      </w:r>
      <w:proofErr w:type="spellEnd"/>
      <w:r>
        <w:rPr>
          <w:rFonts w:ascii="Arial" w:hAnsi="Arial" w:cs="Arial"/>
          <w:sz w:val="24"/>
          <w:szCs w:val="24"/>
          <w:lang w:val="en-US"/>
        </w:rPr>
        <w:t xml:space="preserve"> </w:t>
      </w:r>
      <w:r>
        <w:rPr>
          <w:rFonts w:ascii="Arial" w:hAnsi="Arial" w:cs="Arial"/>
          <w:sz w:val="24"/>
          <w:szCs w:val="24"/>
        </w:rPr>
        <w:t>ketentuan</w:t>
      </w:r>
      <w:r>
        <w:rPr>
          <w:rFonts w:ascii="Arial" w:hAnsi="Arial" w:cs="Arial"/>
          <w:sz w:val="24"/>
          <w:szCs w:val="24"/>
          <w:lang w:val="en-US"/>
        </w:rPr>
        <w:t xml:space="preserve"> </w:t>
      </w:r>
      <w:proofErr w:type="spellStart"/>
      <w:r>
        <w:rPr>
          <w:rFonts w:ascii="Arial" w:hAnsi="Arial" w:cs="Arial"/>
          <w:sz w:val="24"/>
          <w:szCs w:val="24"/>
          <w:lang w:val="en-US"/>
        </w:rPr>
        <w:t>bila</w:t>
      </w:r>
      <w:proofErr w:type="spellEnd"/>
      <w:r>
        <w:rPr>
          <w:rFonts w:ascii="Arial" w:hAnsi="Arial" w:cs="Arial"/>
          <w:sz w:val="24"/>
          <w:szCs w:val="24"/>
          <w:lang w:val="en-US"/>
        </w:rPr>
        <w:t xml:space="preserve"> </w:t>
      </w:r>
      <w:proofErr w:type="spellStart"/>
      <w:r>
        <w:rPr>
          <w:rFonts w:ascii="Arial" w:hAnsi="Arial" w:cs="Arial"/>
          <w:sz w:val="24"/>
          <w:szCs w:val="24"/>
          <w:lang w:val="en-US"/>
        </w:rPr>
        <w:t>didapatkan</w:t>
      </w:r>
      <w:proofErr w:type="spellEnd"/>
      <w:r>
        <w:rPr>
          <w:rFonts w:ascii="Arial" w:hAnsi="Arial" w:cs="Arial"/>
          <w:sz w:val="24"/>
          <w:szCs w:val="24"/>
          <w:lang w:val="en-US"/>
        </w:rPr>
        <w:t xml:space="preserve"> </w:t>
      </w:r>
      <w:proofErr w:type="spellStart"/>
      <w:r>
        <w:rPr>
          <w:rFonts w:ascii="Arial" w:hAnsi="Arial" w:cs="Arial"/>
          <w:sz w:val="24"/>
          <w:szCs w:val="24"/>
          <w:lang w:val="en-US"/>
        </w:rPr>
        <w:t>pasien</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keadaan</w:t>
      </w:r>
      <w:proofErr w:type="spellEnd"/>
      <w:r>
        <w:rPr>
          <w:rFonts w:ascii="Arial" w:hAnsi="Arial" w:cs="Arial"/>
          <w:sz w:val="24"/>
          <w:szCs w:val="24"/>
          <w:lang w:val="en-US"/>
        </w:rPr>
        <w:t xml:space="preserve"> </w:t>
      </w:r>
      <w:proofErr w:type="spellStart"/>
      <w:r>
        <w:rPr>
          <w:rFonts w:ascii="Arial" w:hAnsi="Arial" w:cs="Arial"/>
          <w:sz w:val="24"/>
          <w:szCs w:val="24"/>
          <w:lang w:val="en-US"/>
        </w:rPr>
        <w:t>tersebut</w:t>
      </w:r>
      <w:proofErr w:type="spellEnd"/>
      <w:r>
        <w:rPr>
          <w:rFonts w:ascii="Arial" w:hAnsi="Arial" w:cs="Arial"/>
          <w:sz w:val="24"/>
          <w:szCs w:val="24"/>
        </w:rPr>
        <w:t>.</w:t>
      </w:r>
      <w:proofErr w:type="gramEnd"/>
    </w:p>
    <w:p w:rsidR="004C5557" w:rsidRPr="002C7964" w:rsidRDefault="004C5557" w:rsidP="004C5557">
      <w:pPr>
        <w:spacing w:line="360" w:lineRule="auto"/>
        <w:rPr>
          <w:rFonts w:ascii="Arial" w:hAnsi="Arial" w:cs="Arial"/>
          <w:sz w:val="24"/>
          <w:szCs w:val="24"/>
        </w:rPr>
      </w:pPr>
      <w:r w:rsidRPr="002C7964">
        <w:rPr>
          <w:rFonts w:ascii="Arial" w:hAnsi="Arial" w:cs="Arial"/>
          <w:sz w:val="24"/>
          <w:szCs w:val="24"/>
          <w:lang w:val="en-US"/>
        </w:rPr>
        <w:t xml:space="preserve">3. </w:t>
      </w:r>
      <w:r w:rsidRPr="002C7964">
        <w:rPr>
          <w:rFonts w:ascii="Arial" w:hAnsi="Arial" w:cs="Arial"/>
          <w:sz w:val="24"/>
          <w:szCs w:val="24"/>
        </w:rPr>
        <w:t>Pemberian Ace Inhibitor atau ARB pada pasien ADFH (Rawat Inap dan IPI)</w:t>
      </w:r>
    </w:p>
    <w:p w:rsidR="004C5557" w:rsidRPr="00D83427" w:rsidRDefault="004C5557" w:rsidP="004C5557">
      <w:pPr>
        <w:tabs>
          <w:tab w:val="left" w:pos="1089"/>
        </w:tabs>
        <w:rPr>
          <w:rFonts w:ascii="Arial" w:hAnsi="Arial" w:cs="Arial"/>
          <w:sz w:val="24"/>
          <w:szCs w:val="24"/>
          <w:lang w:val="en-US"/>
        </w:rPr>
      </w:pPr>
      <w:r>
        <w:rPr>
          <w:rFonts w:ascii="Arial" w:hAnsi="Arial" w:cs="Arial"/>
          <w:noProof/>
          <w:sz w:val="24"/>
          <w:szCs w:val="24"/>
          <w:lang w:eastAsia="id-ID"/>
        </w:rPr>
        <w:drawing>
          <wp:inline distT="0" distB="0" distL="0" distR="0">
            <wp:extent cx="5476875" cy="2286000"/>
            <wp:effectExtent l="1905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C5557" w:rsidRDefault="004C5557" w:rsidP="004C5557">
      <w:pPr>
        <w:spacing w:after="120" w:line="360" w:lineRule="auto"/>
        <w:jc w:val="both"/>
        <w:rPr>
          <w:rFonts w:ascii="Arial" w:hAnsi="Arial" w:cs="Arial"/>
          <w:sz w:val="24"/>
          <w:szCs w:val="24"/>
          <w:lang w:val="en-US"/>
        </w:rPr>
      </w:pPr>
      <w:r w:rsidRPr="004154F5">
        <w:rPr>
          <w:rFonts w:ascii="Arial" w:hAnsi="Arial" w:cs="Arial"/>
        </w:rPr>
        <w:t>Pem</w:t>
      </w:r>
      <w:r>
        <w:rPr>
          <w:rFonts w:ascii="Arial" w:hAnsi="Arial" w:cs="Arial"/>
          <w:sz w:val="24"/>
          <w:szCs w:val="24"/>
        </w:rPr>
        <w:t>berian ACE</w:t>
      </w:r>
      <w:r w:rsidRPr="008B0A8A">
        <w:rPr>
          <w:rFonts w:ascii="Arial" w:hAnsi="Arial" w:cs="Arial"/>
          <w:sz w:val="24"/>
          <w:szCs w:val="24"/>
        </w:rPr>
        <w:t xml:space="preserve"> Inhibitor atau ARB pada pasien ADFH (Rawat Inap dan IPI)</w:t>
      </w:r>
      <w:r w:rsidRPr="008B0A8A">
        <w:rPr>
          <w:rFonts w:ascii="Arial" w:hAnsi="Arial" w:cs="Arial"/>
          <w:sz w:val="24"/>
          <w:szCs w:val="24"/>
          <w:lang w:val="en-US"/>
        </w:rPr>
        <w:t xml:space="preserve"> </w:t>
      </w:r>
      <w:proofErr w:type="spellStart"/>
      <w:r w:rsidRPr="008B0A8A">
        <w:rPr>
          <w:rFonts w:ascii="Arial" w:hAnsi="Arial" w:cs="Arial"/>
          <w:sz w:val="24"/>
          <w:szCs w:val="24"/>
          <w:lang w:val="en-US"/>
        </w:rPr>
        <w:t>adalah</w:t>
      </w:r>
      <w:proofErr w:type="spellEnd"/>
      <w:r>
        <w:rPr>
          <w:rFonts w:ascii="Arial" w:hAnsi="Arial" w:cs="Arial"/>
          <w:sz w:val="24"/>
          <w:szCs w:val="24"/>
          <w:lang w:val="en-US"/>
        </w:rPr>
        <w:t xml:space="preserve"> </w:t>
      </w:r>
      <w:proofErr w:type="spellStart"/>
      <w:r>
        <w:rPr>
          <w:rFonts w:ascii="Arial" w:hAnsi="Arial" w:cs="Arial"/>
          <w:sz w:val="24"/>
          <w:szCs w:val="24"/>
          <w:lang w:val="en-US"/>
        </w:rPr>
        <w:t>pemberian</w:t>
      </w:r>
      <w:proofErr w:type="spellEnd"/>
      <w:r>
        <w:rPr>
          <w:rFonts w:ascii="Arial" w:hAnsi="Arial" w:cs="Arial"/>
          <w:sz w:val="24"/>
          <w:szCs w:val="24"/>
          <w:lang w:val="en-US"/>
        </w:rPr>
        <w:t xml:space="preserve"> </w:t>
      </w:r>
      <w:r>
        <w:rPr>
          <w:rStyle w:val="Strong"/>
          <w:rFonts w:ascii="Arial" w:hAnsi="Arial" w:cs="Arial"/>
          <w:color w:val="3B3738"/>
          <w:sz w:val="24"/>
          <w:szCs w:val="24"/>
        </w:rPr>
        <w:t>(ACE) inhibitor (</w:t>
      </w:r>
      <w:r w:rsidRPr="008B0A8A">
        <w:rPr>
          <w:rStyle w:val="Strong"/>
          <w:rFonts w:ascii="Arial" w:hAnsi="Arial" w:cs="Arial"/>
          <w:color w:val="3B3738"/>
          <w:sz w:val="24"/>
          <w:szCs w:val="24"/>
        </w:rPr>
        <w:t xml:space="preserve">obat yang berfungsi </w:t>
      </w:r>
      <w:r>
        <w:rPr>
          <w:rStyle w:val="Strong"/>
          <w:rFonts w:ascii="Arial" w:hAnsi="Arial" w:cs="Arial"/>
          <w:color w:val="3B3738"/>
          <w:sz w:val="24"/>
          <w:szCs w:val="24"/>
        </w:rPr>
        <w:t xml:space="preserve">untuk melemaskan pembuluh darah) </w:t>
      </w:r>
      <w:r>
        <w:rPr>
          <w:rFonts w:ascii="Arial" w:hAnsi="Arial" w:cs="Arial"/>
          <w:sz w:val="24"/>
          <w:szCs w:val="24"/>
        </w:rPr>
        <w:t xml:space="preserve">atau </w:t>
      </w:r>
      <w:r w:rsidRPr="008B0A8A">
        <w:rPr>
          <w:rFonts w:ascii="Arial" w:hAnsi="Arial" w:cs="Arial"/>
          <w:color w:val="3B3738"/>
          <w:sz w:val="24"/>
          <w:szCs w:val="24"/>
        </w:rPr>
        <w:t>ARB atau </w:t>
      </w:r>
      <w:r w:rsidRPr="008B0A8A">
        <w:rPr>
          <w:rStyle w:val="Emphasis"/>
          <w:rFonts w:ascii="Arial" w:hAnsi="Arial" w:cs="Arial"/>
          <w:color w:val="3B3738"/>
          <w:sz w:val="24"/>
          <w:szCs w:val="24"/>
        </w:rPr>
        <w:t>angiotensin II receptor blockers</w:t>
      </w:r>
      <w:r>
        <w:rPr>
          <w:rFonts w:ascii="Arial" w:hAnsi="Arial" w:cs="Arial"/>
          <w:color w:val="3B3738"/>
          <w:sz w:val="24"/>
          <w:szCs w:val="24"/>
          <w:lang w:val="en-US"/>
        </w:rPr>
        <w:t>(</w:t>
      </w:r>
      <w:r w:rsidRPr="008B0A8A">
        <w:rPr>
          <w:rFonts w:ascii="Arial" w:hAnsi="Arial" w:cs="Arial"/>
          <w:color w:val="3B3738"/>
          <w:sz w:val="24"/>
          <w:szCs w:val="24"/>
        </w:rPr>
        <w:t xml:space="preserve">golongan obat-obatan yang digunakan untuk menangani tekanan </w:t>
      </w:r>
      <w:r>
        <w:rPr>
          <w:rFonts w:ascii="Arial" w:hAnsi="Arial" w:cs="Arial"/>
          <w:color w:val="3B3738"/>
          <w:sz w:val="24"/>
          <w:szCs w:val="24"/>
        </w:rPr>
        <w:t xml:space="preserve">darah tinggi dan gagal jantung) pada pasien ADHF di rawat inap dan IPI. </w:t>
      </w:r>
      <w:r w:rsidRPr="008B0A8A">
        <w:rPr>
          <w:rFonts w:ascii="Arial" w:hAnsi="Arial" w:cs="Arial"/>
          <w:color w:val="3B3738"/>
          <w:sz w:val="24"/>
          <w:szCs w:val="24"/>
        </w:rPr>
        <w:t>ADHF adalah perburukan kondisi pasien ditandai dengan memberatnya gejala-gejala HF secara tiba-tiba</w:t>
      </w:r>
      <w:r>
        <w:rPr>
          <w:rFonts w:ascii="Arial" w:hAnsi="Arial" w:cs="Arial"/>
          <w:color w:val="3B3738"/>
          <w:sz w:val="24"/>
          <w:szCs w:val="24"/>
          <w:lang w:val="en-US"/>
        </w:rPr>
        <w:t xml:space="preserve">. </w:t>
      </w:r>
      <w:r w:rsidRPr="00A62C63">
        <w:rPr>
          <w:rFonts w:ascii="Arial" w:hAnsi="Arial" w:cs="Arial"/>
          <w:color w:val="3B3738"/>
          <w:sz w:val="24"/>
          <w:szCs w:val="24"/>
          <w:lang w:val="es-ES_tradnl"/>
        </w:rPr>
        <w:t xml:space="preserve">Pada data di atas data </w:t>
      </w:r>
      <w:proofErr w:type="spellStart"/>
      <w:r w:rsidRPr="00A62C63">
        <w:rPr>
          <w:rFonts w:ascii="Arial" w:hAnsi="Arial" w:cs="Arial"/>
          <w:color w:val="3B3738"/>
          <w:sz w:val="24"/>
          <w:szCs w:val="24"/>
          <w:lang w:val="es-ES_tradnl"/>
        </w:rPr>
        <w:t>terkumpul</w:t>
      </w:r>
      <w:proofErr w:type="spellEnd"/>
      <w:r w:rsidRPr="00A62C63">
        <w:rPr>
          <w:rFonts w:ascii="Arial" w:hAnsi="Arial" w:cs="Arial"/>
          <w:color w:val="3B3738"/>
          <w:sz w:val="24"/>
          <w:szCs w:val="24"/>
          <w:lang w:val="es-ES_tradnl"/>
        </w:rPr>
        <w:t xml:space="preserve"> pada b</w:t>
      </w:r>
      <w:r>
        <w:rPr>
          <w:rFonts w:ascii="Arial" w:hAnsi="Arial" w:cs="Arial"/>
          <w:color w:val="3B3738"/>
          <w:sz w:val="24"/>
          <w:szCs w:val="24"/>
        </w:rPr>
        <w:t>u</w:t>
      </w:r>
      <w:proofErr w:type="spellStart"/>
      <w:r w:rsidRPr="00A62C63">
        <w:rPr>
          <w:rFonts w:ascii="Arial" w:hAnsi="Arial" w:cs="Arial"/>
          <w:color w:val="3B3738"/>
          <w:sz w:val="24"/>
          <w:szCs w:val="24"/>
          <w:lang w:val="es-ES_tradnl"/>
        </w:rPr>
        <w:t>lan</w:t>
      </w:r>
      <w:proofErr w:type="spellEnd"/>
      <w:r w:rsidRPr="00A62C63">
        <w:rPr>
          <w:rFonts w:ascii="Arial" w:hAnsi="Arial" w:cs="Arial"/>
          <w:color w:val="3B3738"/>
          <w:sz w:val="24"/>
          <w:szCs w:val="24"/>
          <w:lang w:val="es-ES_tradnl"/>
        </w:rPr>
        <w:t xml:space="preserve"> </w:t>
      </w:r>
      <w:proofErr w:type="spellStart"/>
      <w:r w:rsidRPr="00A62C63">
        <w:rPr>
          <w:rFonts w:ascii="Arial" w:hAnsi="Arial" w:cs="Arial"/>
          <w:color w:val="3B3738"/>
          <w:sz w:val="24"/>
          <w:szCs w:val="24"/>
          <w:lang w:val="es-ES_tradnl"/>
        </w:rPr>
        <w:t>Nopember</w:t>
      </w:r>
      <w:proofErr w:type="spellEnd"/>
      <w:r w:rsidRPr="00A62C63">
        <w:rPr>
          <w:rFonts w:ascii="Arial" w:hAnsi="Arial" w:cs="Arial"/>
          <w:color w:val="3B3738"/>
          <w:sz w:val="24"/>
          <w:szCs w:val="24"/>
          <w:lang w:val="es-ES_tradnl"/>
        </w:rPr>
        <w:t xml:space="preserve"> dan </w:t>
      </w:r>
      <w:proofErr w:type="spellStart"/>
      <w:r w:rsidRPr="00A62C63">
        <w:rPr>
          <w:rFonts w:ascii="Arial" w:hAnsi="Arial" w:cs="Arial"/>
          <w:color w:val="3B3738"/>
          <w:sz w:val="24"/>
          <w:szCs w:val="24"/>
          <w:lang w:val="es-ES_tradnl"/>
        </w:rPr>
        <w:t>Desember</w:t>
      </w:r>
      <w:proofErr w:type="spellEnd"/>
      <w:r w:rsidRPr="00A62C63">
        <w:rPr>
          <w:rFonts w:ascii="Arial" w:hAnsi="Arial" w:cs="Arial"/>
          <w:color w:val="3B3738"/>
          <w:sz w:val="24"/>
          <w:szCs w:val="24"/>
          <w:lang w:val="es-ES_tradnl"/>
        </w:rPr>
        <w:t xml:space="preserve"> 2019 </w:t>
      </w:r>
      <w:proofErr w:type="spellStart"/>
      <w:r w:rsidRPr="00A62C63">
        <w:rPr>
          <w:rFonts w:ascii="Arial" w:hAnsi="Arial" w:cs="Arial"/>
          <w:color w:val="3B3738"/>
          <w:sz w:val="24"/>
          <w:szCs w:val="24"/>
          <w:lang w:val="es-ES_tradnl"/>
        </w:rPr>
        <w:t>dengan</w:t>
      </w:r>
      <w:proofErr w:type="spellEnd"/>
      <w:r w:rsidRPr="00A62C63">
        <w:rPr>
          <w:rFonts w:ascii="Arial" w:hAnsi="Arial" w:cs="Arial"/>
          <w:color w:val="3B3738"/>
          <w:sz w:val="24"/>
          <w:szCs w:val="24"/>
          <w:lang w:val="es-ES_tradnl"/>
        </w:rPr>
        <w:t xml:space="preserve"> </w:t>
      </w:r>
      <w:proofErr w:type="spellStart"/>
      <w:r w:rsidRPr="00A62C63">
        <w:rPr>
          <w:rFonts w:ascii="Arial" w:hAnsi="Arial" w:cs="Arial"/>
          <w:color w:val="3B3738"/>
          <w:sz w:val="24"/>
          <w:szCs w:val="24"/>
          <w:lang w:val="es-ES_tradnl"/>
        </w:rPr>
        <w:t>capaian</w:t>
      </w:r>
      <w:proofErr w:type="spellEnd"/>
      <w:r w:rsidRPr="00A62C63">
        <w:rPr>
          <w:rFonts w:ascii="Arial" w:hAnsi="Arial" w:cs="Arial"/>
          <w:color w:val="3B3738"/>
          <w:sz w:val="24"/>
          <w:szCs w:val="24"/>
          <w:lang w:val="es-ES_tradnl"/>
        </w:rPr>
        <w:t xml:space="preserve"> </w:t>
      </w:r>
      <w:proofErr w:type="spellStart"/>
      <w:r w:rsidRPr="00A62C63">
        <w:rPr>
          <w:rFonts w:ascii="Arial" w:hAnsi="Arial" w:cs="Arial"/>
          <w:color w:val="3B3738"/>
          <w:sz w:val="24"/>
          <w:szCs w:val="24"/>
          <w:lang w:val="es-ES_tradnl"/>
        </w:rPr>
        <w:t>mencapai</w:t>
      </w:r>
      <w:proofErr w:type="spellEnd"/>
      <w:r w:rsidRPr="00A62C63">
        <w:rPr>
          <w:rFonts w:ascii="Arial" w:hAnsi="Arial" w:cs="Arial"/>
          <w:color w:val="3B3738"/>
          <w:sz w:val="24"/>
          <w:szCs w:val="24"/>
          <w:lang w:val="es-ES_tradnl"/>
        </w:rPr>
        <w:t xml:space="preserve"> 100%, dimana </w:t>
      </w:r>
      <w:proofErr w:type="spellStart"/>
      <w:r w:rsidRPr="00A62C63">
        <w:rPr>
          <w:rFonts w:ascii="Arial" w:hAnsi="Arial" w:cs="Arial"/>
          <w:color w:val="3B3738"/>
          <w:sz w:val="24"/>
          <w:szCs w:val="24"/>
          <w:lang w:val="es-ES_tradnl"/>
        </w:rPr>
        <w:t>standart</w:t>
      </w:r>
      <w:proofErr w:type="spellEnd"/>
      <w:r w:rsidRPr="00A62C63">
        <w:rPr>
          <w:rFonts w:ascii="Arial" w:hAnsi="Arial" w:cs="Arial"/>
          <w:color w:val="3B3738"/>
          <w:sz w:val="24"/>
          <w:szCs w:val="24"/>
          <w:lang w:val="es-ES_tradnl"/>
        </w:rPr>
        <w:t xml:space="preserve"> yang </w:t>
      </w:r>
      <w:proofErr w:type="spellStart"/>
      <w:r w:rsidRPr="00A62C63">
        <w:rPr>
          <w:rFonts w:ascii="Arial" w:hAnsi="Arial" w:cs="Arial"/>
          <w:color w:val="3B3738"/>
          <w:sz w:val="24"/>
          <w:szCs w:val="24"/>
          <w:lang w:val="es-ES_tradnl"/>
        </w:rPr>
        <w:t>ditetapkan</w:t>
      </w:r>
      <w:proofErr w:type="spellEnd"/>
      <w:r w:rsidRPr="00A62C63">
        <w:rPr>
          <w:rFonts w:ascii="Arial" w:hAnsi="Arial" w:cs="Arial"/>
          <w:color w:val="3B3738"/>
          <w:sz w:val="24"/>
          <w:szCs w:val="24"/>
          <w:lang w:val="es-ES_tradnl"/>
        </w:rPr>
        <w:t xml:space="preserve"> </w:t>
      </w:r>
      <w:proofErr w:type="spellStart"/>
      <w:r w:rsidRPr="00A62C63">
        <w:rPr>
          <w:rFonts w:ascii="Arial" w:hAnsi="Arial" w:cs="Arial"/>
          <w:color w:val="3B3738"/>
          <w:sz w:val="24"/>
          <w:szCs w:val="24"/>
          <w:lang w:val="es-ES_tradnl"/>
        </w:rPr>
        <w:t>adalah</w:t>
      </w:r>
      <w:proofErr w:type="spellEnd"/>
      <w:r w:rsidRPr="00A62C63">
        <w:rPr>
          <w:rFonts w:ascii="Arial" w:hAnsi="Arial" w:cs="Arial"/>
          <w:color w:val="3B3738"/>
          <w:sz w:val="24"/>
          <w:szCs w:val="24"/>
          <w:lang w:val="es-ES_tradnl"/>
        </w:rPr>
        <w:t xml:space="preserve"> 90%. </w:t>
      </w:r>
      <w:proofErr w:type="spellStart"/>
      <w:proofErr w:type="gramStart"/>
      <w:r>
        <w:rPr>
          <w:rFonts w:ascii="Arial" w:hAnsi="Arial" w:cs="Arial"/>
          <w:color w:val="3B3738"/>
          <w:sz w:val="24"/>
          <w:szCs w:val="24"/>
          <w:lang w:val="en-US"/>
        </w:rPr>
        <w:t>Rencana</w:t>
      </w:r>
      <w:proofErr w:type="spellEnd"/>
      <w:r>
        <w:rPr>
          <w:rFonts w:ascii="Arial" w:hAnsi="Arial" w:cs="Arial"/>
          <w:color w:val="3B3738"/>
          <w:sz w:val="24"/>
          <w:szCs w:val="24"/>
          <w:lang w:val="en-US"/>
        </w:rPr>
        <w:t xml:space="preserve"> </w:t>
      </w:r>
      <w:proofErr w:type="spellStart"/>
      <w:r>
        <w:rPr>
          <w:rFonts w:ascii="Arial" w:hAnsi="Arial" w:cs="Arial"/>
          <w:color w:val="3B3738"/>
          <w:sz w:val="24"/>
          <w:szCs w:val="24"/>
          <w:lang w:val="en-US"/>
        </w:rPr>
        <w:t>tindak</w:t>
      </w:r>
      <w:proofErr w:type="spellEnd"/>
      <w:r>
        <w:rPr>
          <w:rFonts w:ascii="Arial" w:hAnsi="Arial" w:cs="Arial"/>
          <w:color w:val="3B3738"/>
          <w:sz w:val="24"/>
          <w:szCs w:val="24"/>
          <w:lang w:val="en-US"/>
        </w:rPr>
        <w:t xml:space="preserve"> </w:t>
      </w:r>
      <w:proofErr w:type="spellStart"/>
      <w:r>
        <w:rPr>
          <w:rFonts w:ascii="Arial" w:hAnsi="Arial" w:cs="Arial"/>
          <w:color w:val="3B3738"/>
          <w:sz w:val="24"/>
          <w:szCs w:val="24"/>
          <w:lang w:val="en-US"/>
        </w:rPr>
        <w:t>lanjutnya</w:t>
      </w:r>
      <w:proofErr w:type="spellEnd"/>
      <w:r>
        <w:rPr>
          <w:rFonts w:ascii="Arial" w:hAnsi="Arial" w:cs="Arial"/>
          <w:color w:val="3B3738"/>
          <w:sz w:val="24"/>
          <w:szCs w:val="24"/>
          <w:lang w:val="en-US"/>
        </w:rPr>
        <w:t xml:space="preserve"> </w:t>
      </w:r>
      <w:proofErr w:type="spellStart"/>
      <w:r>
        <w:rPr>
          <w:rFonts w:ascii="Arial" w:hAnsi="Arial" w:cs="Arial"/>
          <w:color w:val="3B3738"/>
          <w:sz w:val="24"/>
          <w:szCs w:val="24"/>
          <w:lang w:val="en-US"/>
        </w:rPr>
        <w:t>adalah</w:t>
      </w:r>
      <w:proofErr w:type="spellEnd"/>
      <w:r>
        <w:rPr>
          <w:rFonts w:ascii="Arial" w:hAnsi="Arial" w:cs="Arial"/>
          <w:color w:val="3B3738"/>
          <w:sz w:val="24"/>
          <w:szCs w:val="24"/>
          <w:lang w:val="en-US"/>
        </w:rPr>
        <w:t xml:space="preserve"> </w:t>
      </w:r>
      <w:proofErr w:type="spellStart"/>
      <w:r>
        <w:rPr>
          <w:rFonts w:ascii="Arial" w:hAnsi="Arial" w:cs="Arial"/>
          <w:color w:val="3B3738"/>
          <w:sz w:val="24"/>
          <w:szCs w:val="24"/>
          <w:lang w:val="en-US"/>
        </w:rPr>
        <w:t>mempertahankan</w:t>
      </w:r>
      <w:proofErr w:type="spellEnd"/>
      <w:r>
        <w:rPr>
          <w:rFonts w:ascii="Arial" w:hAnsi="Arial" w:cs="Arial"/>
          <w:color w:val="3B3738"/>
          <w:sz w:val="24"/>
          <w:szCs w:val="24"/>
          <w:lang w:val="en-US"/>
        </w:rPr>
        <w:t xml:space="preserve"> </w:t>
      </w:r>
      <w:proofErr w:type="spellStart"/>
      <w:r>
        <w:rPr>
          <w:rFonts w:ascii="Arial" w:hAnsi="Arial" w:cs="Arial"/>
          <w:color w:val="3B3738"/>
          <w:sz w:val="24"/>
          <w:szCs w:val="24"/>
          <w:lang w:val="en-US"/>
        </w:rPr>
        <w:t>capaian</w:t>
      </w:r>
      <w:proofErr w:type="spellEnd"/>
      <w:r>
        <w:rPr>
          <w:rFonts w:ascii="Arial" w:hAnsi="Arial" w:cs="Arial"/>
          <w:color w:val="3B3738"/>
          <w:sz w:val="24"/>
          <w:szCs w:val="24"/>
          <w:lang w:val="en-US"/>
        </w:rPr>
        <w:t>.</w:t>
      </w:r>
      <w:proofErr w:type="gramEnd"/>
    </w:p>
    <w:p w:rsidR="004C5557" w:rsidRPr="00337215" w:rsidRDefault="004C5557" w:rsidP="004C5557">
      <w:pPr>
        <w:tabs>
          <w:tab w:val="left" w:pos="1089"/>
        </w:tabs>
        <w:rPr>
          <w:rFonts w:ascii="Arial" w:hAnsi="Arial" w:cs="Arial"/>
          <w:sz w:val="24"/>
          <w:szCs w:val="24"/>
        </w:rPr>
      </w:pPr>
      <w:r>
        <w:rPr>
          <w:rFonts w:ascii="Arial" w:hAnsi="Arial" w:cs="Arial"/>
          <w:sz w:val="24"/>
          <w:szCs w:val="24"/>
        </w:rPr>
        <w:t>2. Indikator Area Manajemen</w:t>
      </w:r>
    </w:p>
    <w:p w:rsidR="004C5557" w:rsidRPr="009811C4" w:rsidRDefault="004C5557" w:rsidP="004C5557">
      <w:pPr>
        <w:pStyle w:val="ListParagraph"/>
        <w:spacing w:line="360" w:lineRule="auto"/>
        <w:ind w:left="145"/>
        <w:rPr>
          <w:rFonts w:ascii="Arial" w:hAnsi="Arial" w:cs="Arial"/>
          <w:sz w:val="24"/>
          <w:szCs w:val="24"/>
          <w:lang w:val="id-ID"/>
        </w:rPr>
      </w:pPr>
      <w:r w:rsidRPr="009811C4">
        <w:rPr>
          <w:rFonts w:ascii="Arial" w:hAnsi="Arial" w:cs="Arial"/>
          <w:sz w:val="24"/>
          <w:szCs w:val="24"/>
          <w:lang w:val="id-ID"/>
        </w:rPr>
        <w:t>Respon Time Pelayanan Streptokinase di unit Farmasi</w:t>
      </w:r>
    </w:p>
    <w:p w:rsidR="004C5557" w:rsidRDefault="004C5557" w:rsidP="004C5557">
      <w:pPr>
        <w:spacing w:after="0"/>
        <w:rPr>
          <w:rFonts w:ascii="Arial" w:hAnsi="Arial" w:cs="Arial"/>
          <w:b/>
          <w:sz w:val="24"/>
          <w:szCs w:val="24"/>
          <w:lang w:val="en-US"/>
        </w:rPr>
      </w:pPr>
      <w:r>
        <w:rPr>
          <w:rFonts w:ascii="Arial" w:hAnsi="Arial" w:cs="Arial"/>
          <w:b/>
          <w:noProof/>
          <w:sz w:val="24"/>
          <w:szCs w:val="24"/>
          <w:lang w:eastAsia="id-ID"/>
        </w:rPr>
        <w:lastRenderedPageBreak/>
        <w:drawing>
          <wp:inline distT="0" distB="0" distL="0" distR="0">
            <wp:extent cx="5457825" cy="2276475"/>
            <wp:effectExtent l="19050" t="0" r="9525"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C5557" w:rsidRDefault="004C5557" w:rsidP="004C5557">
      <w:pPr>
        <w:spacing w:after="0"/>
        <w:jc w:val="center"/>
        <w:rPr>
          <w:rFonts w:ascii="Arial" w:hAnsi="Arial" w:cs="Arial"/>
          <w:b/>
          <w:sz w:val="24"/>
          <w:szCs w:val="24"/>
          <w:lang w:val="en-US"/>
        </w:rPr>
      </w:pPr>
    </w:p>
    <w:p w:rsidR="004C5557" w:rsidRDefault="004C5557" w:rsidP="004C5557">
      <w:r w:rsidRPr="0039446D">
        <w:rPr>
          <w:rFonts w:ascii="Arial" w:hAnsi="Arial" w:cs="Arial"/>
        </w:rPr>
        <w:t>R</w:t>
      </w:r>
      <w:r w:rsidRPr="00D447C0">
        <w:rPr>
          <w:rFonts w:ascii="Arial" w:hAnsi="Arial" w:cs="Arial"/>
          <w:sz w:val="24"/>
          <w:szCs w:val="24"/>
        </w:rPr>
        <w:t>espon Time Pelayanan Streptokinase di unit Farmasi adalah Pengadaan obat Streptokinase &lt; 30 menit  dari mulai resep diterima di farmasi sampai obat tersedia di unit</w:t>
      </w:r>
      <w:r>
        <w:rPr>
          <w:rFonts w:ascii="Arial" w:hAnsi="Arial" w:cs="Arial"/>
          <w:sz w:val="24"/>
          <w:szCs w:val="24"/>
          <w:lang w:val="en-US"/>
        </w:rPr>
        <w:t>.</w:t>
      </w:r>
      <w:r>
        <w:rPr>
          <w:rFonts w:ascii="Arial" w:hAnsi="Arial" w:cs="Arial"/>
          <w:sz w:val="24"/>
          <w:szCs w:val="24"/>
        </w:rPr>
        <w:t xml:space="preserve"> Dari data di atas bisa dilihat pelayanan streptokinase pada bulan Oktober dan Nopember sudah memenuhi standart, dan pada bulan Desember tidak ada permintaan streptokinase dari unit sehingga nilainya 0.  Rencana tindak lanjutnya adalah mempertahankan capaian.</w:t>
      </w:r>
    </w:p>
    <w:sectPr w:rsidR="004C5557" w:rsidSect="00D34DF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40848"/>
    <w:multiLevelType w:val="hybridMultilevel"/>
    <w:tmpl w:val="D0A6F02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670861B5"/>
    <w:multiLevelType w:val="hybridMultilevel"/>
    <w:tmpl w:val="2A08FD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7492373"/>
    <w:multiLevelType w:val="hybridMultilevel"/>
    <w:tmpl w:val="43C09538"/>
    <w:lvl w:ilvl="0" w:tplc="0421000F">
      <w:start w:val="1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4C5557"/>
    <w:rsid w:val="004C5557"/>
    <w:rsid w:val="008A28EB"/>
    <w:rsid w:val="00B63DCF"/>
    <w:rsid w:val="00BA045E"/>
    <w:rsid w:val="00D34DF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55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5557"/>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C5557"/>
    <w:pPr>
      <w:ind w:left="720"/>
      <w:contextualSpacing/>
    </w:pPr>
    <w:rPr>
      <w:lang w:val="en-US"/>
    </w:rPr>
  </w:style>
  <w:style w:type="paragraph" w:styleId="Caption">
    <w:name w:val="caption"/>
    <w:basedOn w:val="Normal"/>
    <w:next w:val="Normal"/>
    <w:uiPriority w:val="35"/>
    <w:unhideWhenUsed/>
    <w:qFormat/>
    <w:rsid w:val="004C5557"/>
    <w:pPr>
      <w:spacing w:line="240" w:lineRule="auto"/>
    </w:pPr>
    <w:rPr>
      <w:b/>
      <w:bCs/>
      <w:color w:val="4F81BD" w:themeColor="accent1"/>
      <w:sz w:val="18"/>
      <w:szCs w:val="18"/>
    </w:rPr>
  </w:style>
  <w:style w:type="character" w:styleId="Strong">
    <w:name w:val="Strong"/>
    <w:basedOn w:val="DefaultParagraphFont"/>
    <w:uiPriority w:val="22"/>
    <w:qFormat/>
    <w:rsid w:val="004C5557"/>
    <w:rPr>
      <w:b/>
      <w:bCs/>
    </w:rPr>
  </w:style>
  <w:style w:type="character" w:styleId="Emphasis">
    <w:name w:val="Emphasis"/>
    <w:basedOn w:val="DefaultParagraphFont"/>
    <w:uiPriority w:val="20"/>
    <w:qFormat/>
    <w:rsid w:val="004C5557"/>
    <w:rPr>
      <w:i/>
      <w:iCs/>
    </w:rPr>
  </w:style>
  <w:style w:type="paragraph" w:styleId="BalloonText">
    <w:name w:val="Balloon Text"/>
    <w:basedOn w:val="Normal"/>
    <w:link w:val="BalloonTextChar"/>
    <w:uiPriority w:val="99"/>
    <w:semiHidden/>
    <w:unhideWhenUsed/>
    <w:rsid w:val="004C5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55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 Type="http://schemas.openxmlformats.org/officeDocument/2006/relationships/styles" Target="styles.xml"/><Relationship Id="rId16" Type="http://schemas.openxmlformats.org/officeDocument/2006/relationships/chart" Target="charts/chart12.xml"/><Relationship Id="rId20" Type="http://schemas.openxmlformats.org/officeDocument/2006/relationships/chart" Target="charts/chart16.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19" Type="http://schemas.openxmlformats.org/officeDocument/2006/relationships/chart" Target="charts/chart15.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Office_Excel_Worksheet16.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id-ID" sz="1800" b="1" i="0" u="none" strike="noStrike" kern="1200" baseline="0">
                <a:solidFill>
                  <a:sysClr val="windowText" lastClr="000000"/>
                </a:solidFill>
                <a:latin typeface="+mn-lt"/>
                <a:ea typeface="+mn-ea"/>
                <a:cs typeface="+mn-cs"/>
              </a:defRPr>
            </a:pPr>
            <a:r>
              <a:rPr lang="en-US" sz="1000" b="1"/>
              <a:t>Emergency Respon Time</a:t>
            </a:r>
            <a:endParaRPr lang="id-ID" sz="1000"/>
          </a:p>
          <a:p>
            <a:pPr marL="0" marR="0" indent="0" algn="ctr" defTabSz="914400" rtl="0" eaLnBrk="1" fontAlgn="auto" latinLnBrk="0" hangingPunct="1">
              <a:lnSpc>
                <a:spcPct val="100000"/>
              </a:lnSpc>
              <a:spcBef>
                <a:spcPts val="0"/>
              </a:spcBef>
              <a:spcAft>
                <a:spcPts val="0"/>
              </a:spcAft>
              <a:buClrTx/>
              <a:buSzTx/>
              <a:buFontTx/>
              <a:buNone/>
              <a:tabLst/>
              <a:defRPr lang="id-ID" sz="1800" b="1" i="0" u="none" strike="noStrike" kern="1200" baseline="0">
                <a:solidFill>
                  <a:sysClr val="windowText" lastClr="000000"/>
                </a:solidFill>
                <a:latin typeface="+mn-lt"/>
                <a:ea typeface="+mn-ea"/>
                <a:cs typeface="+mn-cs"/>
              </a:defRPr>
            </a:pPr>
            <a:endParaRPr lang="id-ID"/>
          </a:p>
        </c:rich>
      </c:tx>
      <c:layout/>
    </c:title>
    <c:plotArea>
      <c:layout>
        <c:manualLayout>
          <c:layoutTarget val="inner"/>
          <c:xMode val="edge"/>
          <c:yMode val="edge"/>
          <c:x val="0.11394627651741629"/>
          <c:y val="0.14228177899780875"/>
          <c:w val="0.84755217437143826"/>
          <c:h val="0.63906098694184954"/>
        </c:manualLayout>
      </c:layout>
      <c:lineChart>
        <c:grouping val="standard"/>
        <c:ser>
          <c:idx val="0"/>
          <c:order val="0"/>
          <c:tx>
            <c:strRef>
              <c:f>Sheet1!$B$1</c:f>
              <c:strCache>
                <c:ptCount val="1"/>
                <c:pt idx="0">
                  <c:v>Capaian</c:v>
                </c:pt>
              </c:strCache>
            </c:strRef>
          </c:tx>
          <c:spPr>
            <a:ln>
              <a:solidFill>
                <a:srgbClr val="C00000"/>
              </a:solidFill>
            </a:ln>
          </c:spPr>
          <c:cat>
            <c:strRef>
              <c:f>Sheet1!$A$2:$A$4</c:f>
              <c:strCache>
                <c:ptCount val="3"/>
                <c:pt idx="0">
                  <c:v>Oktober</c:v>
                </c:pt>
                <c:pt idx="1">
                  <c:v>Nopember</c:v>
                </c:pt>
                <c:pt idx="2">
                  <c:v>Desember</c:v>
                </c:pt>
              </c:strCache>
            </c:strRef>
          </c:cat>
          <c:val>
            <c:numRef>
              <c:f>Sheet1!$B$2:$B$4</c:f>
              <c:numCache>
                <c:formatCode>General</c:formatCode>
                <c:ptCount val="3"/>
                <c:pt idx="0">
                  <c:v>100</c:v>
                </c:pt>
                <c:pt idx="1">
                  <c:v>99</c:v>
                </c:pt>
                <c:pt idx="2">
                  <c:v>100</c:v>
                </c:pt>
              </c:numCache>
            </c:numRef>
          </c:val>
        </c:ser>
        <c:ser>
          <c:idx val="1"/>
          <c:order val="1"/>
          <c:tx>
            <c:strRef>
              <c:f>Sheet1!$C$1</c:f>
              <c:strCache>
                <c:ptCount val="1"/>
                <c:pt idx="0">
                  <c:v>Standart</c:v>
                </c:pt>
              </c:strCache>
            </c:strRef>
          </c:tx>
          <c:spPr>
            <a:ln>
              <a:solidFill>
                <a:schemeClr val="accent1"/>
              </a:solidFill>
            </a:ln>
          </c:spPr>
          <c:cat>
            <c:strRef>
              <c:f>Sheet1!$A$2:$A$4</c:f>
              <c:strCache>
                <c:ptCount val="3"/>
                <c:pt idx="0">
                  <c:v>Oktober</c:v>
                </c:pt>
                <c:pt idx="1">
                  <c:v>Nopember</c:v>
                </c:pt>
                <c:pt idx="2">
                  <c:v>Desember</c:v>
                </c:pt>
              </c:strCache>
            </c:strRef>
          </c:cat>
          <c:val>
            <c:numRef>
              <c:f>Sheet1!$C$2:$C$4</c:f>
              <c:numCache>
                <c:formatCode>General</c:formatCode>
                <c:ptCount val="3"/>
                <c:pt idx="0">
                  <c:v>100</c:v>
                </c:pt>
                <c:pt idx="1">
                  <c:v>100</c:v>
                </c:pt>
                <c:pt idx="2">
                  <c:v>100</c:v>
                </c:pt>
              </c:numCache>
            </c:numRef>
          </c:val>
        </c:ser>
        <c:marker val="1"/>
        <c:axId val="63505920"/>
        <c:axId val="63507456"/>
      </c:lineChart>
      <c:catAx>
        <c:axId val="63505920"/>
        <c:scaling>
          <c:orientation val="minMax"/>
        </c:scaling>
        <c:axPos val="b"/>
        <c:numFmt formatCode="General" sourceLinked="0"/>
        <c:tickLblPos val="nextTo"/>
        <c:txPr>
          <a:bodyPr/>
          <a:lstStyle/>
          <a:p>
            <a:pPr>
              <a:defRPr lang="id-ID"/>
            </a:pPr>
            <a:endParaRPr lang="id-ID"/>
          </a:p>
        </c:txPr>
        <c:crossAx val="63507456"/>
        <c:crossesAt val="98.4"/>
        <c:auto val="1"/>
        <c:lblAlgn val="ctr"/>
        <c:lblOffset val="100"/>
      </c:catAx>
      <c:valAx>
        <c:axId val="63507456"/>
        <c:scaling>
          <c:orientation val="minMax"/>
        </c:scaling>
        <c:axPos val="l"/>
        <c:majorGridlines/>
        <c:numFmt formatCode="General" sourceLinked="1"/>
        <c:tickLblPos val="nextTo"/>
        <c:txPr>
          <a:bodyPr/>
          <a:lstStyle/>
          <a:p>
            <a:pPr>
              <a:defRPr lang="id-ID"/>
            </a:pPr>
            <a:endParaRPr lang="id-ID"/>
          </a:p>
        </c:txPr>
        <c:crossAx val="63505920"/>
        <c:crosses val="autoZero"/>
        <c:crossBetween val="between"/>
      </c:valAx>
      <c:dTable>
        <c:showHorzBorder val="1"/>
        <c:showVertBorder val="1"/>
        <c:showOutline val="1"/>
        <c:showKeys val="1"/>
        <c:txPr>
          <a:bodyPr/>
          <a:lstStyle/>
          <a:p>
            <a:pPr rtl="0">
              <a:defRPr lang="id-ID"/>
            </a:pPr>
            <a:endParaRPr lang="id-ID"/>
          </a:p>
        </c:txPr>
      </c:dTable>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id-ID"/>
            </a:pPr>
            <a:r>
              <a:rPr lang="en-US" sz="1000" b="1" i="0" u="none" strike="noStrike" baseline="0"/>
              <a:t>Kepatuhan Upaya Pencegahan Resiko Jatuh</a:t>
            </a:r>
            <a:endParaRPr lang="id-ID" sz="1000"/>
          </a:p>
        </c:rich>
      </c:tx>
      <c:layout/>
    </c:title>
    <c:plotArea>
      <c:layout/>
      <c:lineChart>
        <c:grouping val="standard"/>
        <c:ser>
          <c:idx val="0"/>
          <c:order val="0"/>
          <c:tx>
            <c:strRef>
              <c:f>Sheet1!$B$1</c:f>
              <c:strCache>
                <c:ptCount val="1"/>
                <c:pt idx="0">
                  <c:v>Capaian</c:v>
                </c:pt>
              </c:strCache>
            </c:strRef>
          </c:tx>
          <c:cat>
            <c:strRef>
              <c:f>Sheet1!$A$2:$A$4</c:f>
              <c:strCache>
                <c:ptCount val="3"/>
                <c:pt idx="0">
                  <c:v>Oktober</c:v>
                </c:pt>
                <c:pt idx="1">
                  <c:v>Nopember</c:v>
                </c:pt>
                <c:pt idx="2">
                  <c:v>Desember</c:v>
                </c:pt>
              </c:strCache>
            </c:strRef>
          </c:cat>
          <c:val>
            <c:numRef>
              <c:f>Sheet1!$B$2:$B$4</c:f>
              <c:numCache>
                <c:formatCode>General</c:formatCode>
                <c:ptCount val="3"/>
                <c:pt idx="0">
                  <c:v>39</c:v>
                </c:pt>
                <c:pt idx="1">
                  <c:v>51</c:v>
                </c:pt>
                <c:pt idx="2">
                  <c:v>91</c:v>
                </c:pt>
              </c:numCache>
            </c:numRef>
          </c:val>
        </c:ser>
        <c:ser>
          <c:idx val="1"/>
          <c:order val="1"/>
          <c:tx>
            <c:strRef>
              <c:f>Sheet1!$C$1</c:f>
              <c:strCache>
                <c:ptCount val="1"/>
                <c:pt idx="0">
                  <c:v>Standart</c:v>
                </c:pt>
              </c:strCache>
            </c:strRef>
          </c:tx>
          <c:cat>
            <c:strRef>
              <c:f>Sheet1!$A$2:$A$4</c:f>
              <c:strCache>
                <c:ptCount val="3"/>
                <c:pt idx="0">
                  <c:v>Oktober</c:v>
                </c:pt>
                <c:pt idx="1">
                  <c:v>Nopember</c:v>
                </c:pt>
                <c:pt idx="2">
                  <c:v>Desember</c:v>
                </c:pt>
              </c:strCache>
            </c:strRef>
          </c:cat>
          <c:val>
            <c:numRef>
              <c:f>Sheet1!$C$2:$C$4</c:f>
              <c:numCache>
                <c:formatCode>General</c:formatCode>
                <c:ptCount val="3"/>
                <c:pt idx="0">
                  <c:v>100</c:v>
                </c:pt>
                <c:pt idx="1">
                  <c:v>100</c:v>
                </c:pt>
                <c:pt idx="2">
                  <c:v>100</c:v>
                </c:pt>
              </c:numCache>
            </c:numRef>
          </c:val>
        </c:ser>
        <c:marker val="1"/>
        <c:axId val="102827520"/>
        <c:axId val="102829056"/>
      </c:lineChart>
      <c:catAx>
        <c:axId val="102827520"/>
        <c:scaling>
          <c:orientation val="minMax"/>
        </c:scaling>
        <c:axPos val="b"/>
        <c:numFmt formatCode="General" sourceLinked="0"/>
        <c:tickLblPos val="nextTo"/>
        <c:txPr>
          <a:bodyPr/>
          <a:lstStyle/>
          <a:p>
            <a:pPr>
              <a:defRPr lang="id-ID"/>
            </a:pPr>
            <a:endParaRPr lang="id-ID"/>
          </a:p>
        </c:txPr>
        <c:crossAx val="102829056"/>
        <c:crosses val="autoZero"/>
        <c:auto val="1"/>
        <c:lblAlgn val="ctr"/>
        <c:lblOffset val="100"/>
      </c:catAx>
      <c:valAx>
        <c:axId val="102829056"/>
        <c:scaling>
          <c:orientation val="minMax"/>
        </c:scaling>
        <c:axPos val="l"/>
        <c:majorGridlines/>
        <c:numFmt formatCode="General" sourceLinked="1"/>
        <c:tickLblPos val="nextTo"/>
        <c:txPr>
          <a:bodyPr/>
          <a:lstStyle/>
          <a:p>
            <a:pPr>
              <a:defRPr lang="id-ID"/>
            </a:pPr>
            <a:endParaRPr lang="id-ID"/>
          </a:p>
        </c:txPr>
        <c:crossAx val="102827520"/>
        <c:crosses val="autoZero"/>
        <c:crossBetween val="between"/>
      </c:valAx>
      <c:dTable>
        <c:showHorzBorder val="1"/>
        <c:showVertBorder val="1"/>
        <c:showOutline val="1"/>
        <c:showKeys val="1"/>
        <c:txPr>
          <a:bodyPr/>
          <a:lstStyle/>
          <a:p>
            <a:pPr rtl="0">
              <a:defRPr lang="id-ID"/>
            </a:pPr>
            <a:endParaRPr lang="id-ID"/>
          </a:p>
        </c:txPr>
      </c:dTable>
      <c:spPr>
        <a:gradFill>
          <a:gsLst>
            <a:gs pos="0">
              <a:srgbClr val="4F81BD">
                <a:tint val="66000"/>
                <a:satMod val="160000"/>
              </a:srgbClr>
            </a:gs>
            <a:gs pos="50000">
              <a:srgbClr val="4F81BD">
                <a:tint val="44500"/>
                <a:satMod val="160000"/>
              </a:srgbClr>
            </a:gs>
            <a:gs pos="100000">
              <a:srgbClr val="4F81BD">
                <a:tint val="23500"/>
                <a:satMod val="160000"/>
              </a:srgbClr>
            </a:gs>
          </a:gsLst>
          <a:lin ang="6000000" scaled="0"/>
        </a:gradFill>
      </c:spPr>
    </c:plotArea>
    <c:legend>
      <c:legendPos val="r"/>
      <c:layout/>
      <c:txPr>
        <a:bodyPr/>
        <a:lstStyle/>
        <a:p>
          <a:pPr>
            <a:defRPr lang="id-ID"/>
          </a:pPr>
          <a:endParaRPr lang="id-ID"/>
        </a:p>
      </c:txPr>
    </c:legend>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6000000" scaled="0"/>
    </a:gradFill>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id-ID" sz="1800" b="1" i="0" u="none" strike="noStrike" kern="1200" baseline="0">
                <a:solidFill>
                  <a:sysClr val="windowText" lastClr="000000"/>
                </a:solidFill>
                <a:latin typeface="+mn-lt"/>
                <a:ea typeface="+mn-ea"/>
                <a:cs typeface="+mn-cs"/>
              </a:defRPr>
            </a:pPr>
            <a:r>
              <a:rPr lang="en-US" sz="1000"/>
              <a:t>Waktu Lapor Hasil Kritis Laboratorium</a:t>
            </a:r>
            <a:endParaRPr lang="id-ID" sz="1000"/>
          </a:p>
          <a:p>
            <a:pPr marL="0" marR="0" indent="0" algn="ctr" defTabSz="914400" rtl="0" eaLnBrk="1" fontAlgn="auto" latinLnBrk="0" hangingPunct="1">
              <a:lnSpc>
                <a:spcPct val="100000"/>
              </a:lnSpc>
              <a:spcBef>
                <a:spcPts val="0"/>
              </a:spcBef>
              <a:spcAft>
                <a:spcPts val="0"/>
              </a:spcAft>
              <a:buClrTx/>
              <a:buSzTx/>
              <a:buFontTx/>
              <a:buNone/>
              <a:tabLst/>
              <a:defRPr lang="id-ID" sz="1800" b="1" i="0" u="none" strike="noStrike" kern="1200" baseline="0">
                <a:solidFill>
                  <a:sysClr val="windowText" lastClr="000000"/>
                </a:solidFill>
                <a:latin typeface="+mn-lt"/>
                <a:ea typeface="+mn-ea"/>
                <a:cs typeface="+mn-cs"/>
              </a:defRPr>
            </a:pPr>
            <a:endParaRPr lang="id-ID"/>
          </a:p>
        </c:rich>
      </c:tx>
      <c:layout/>
    </c:title>
    <c:plotArea>
      <c:layout>
        <c:manualLayout>
          <c:layoutTarget val="inner"/>
          <c:xMode val="edge"/>
          <c:yMode val="edge"/>
          <c:x val="0.28358370732668714"/>
          <c:y val="0.32167419072615938"/>
          <c:w val="0.45786102675732077"/>
          <c:h val="0.37291431904345373"/>
        </c:manualLayout>
      </c:layout>
      <c:lineChart>
        <c:grouping val="standard"/>
        <c:ser>
          <c:idx val="0"/>
          <c:order val="0"/>
          <c:tx>
            <c:strRef>
              <c:f>Sheet1!$B$1</c:f>
              <c:strCache>
                <c:ptCount val="1"/>
                <c:pt idx="0">
                  <c:v>Capaian</c:v>
                </c:pt>
              </c:strCache>
            </c:strRef>
          </c:tx>
          <c:cat>
            <c:strRef>
              <c:f>Sheet1!$A$2:$A$4</c:f>
              <c:strCache>
                <c:ptCount val="3"/>
                <c:pt idx="0">
                  <c:v>Oktober</c:v>
                </c:pt>
                <c:pt idx="1">
                  <c:v>Nopember</c:v>
                </c:pt>
                <c:pt idx="2">
                  <c:v>Desember</c:v>
                </c:pt>
              </c:strCache>
            </c:strRef>
          </c:cat>
          <c:val>
            <c:numRef>
              <c:f>Sheet1!$B$2:$B$4</c:f>
              <c:numCache>
                <c:formatCode>General</c:formatCode>
                <c:ptCount val="3"/>
                <c:pt idx="0">
                  <c:v>14.8</c:v>
                </c:pt>
                <c:pt idx="1">
                  <c:v>15.5</c:v>
                </c:pt>
                <c:pt idx="2">
                  <c:v>14.8</c:v>
                </c:pt>
              </c:numCache>
            </c:numRef>
          </c:val>
        </c:ser>
        <c:ser>
          <c:idx val="1"/>
          <c:order val="1"/>
          <c:tx>
            <c:strRef>
              <c:f>Sheet1!$C$1</c:f>
              <c:strCache>
                <c:ptCount val="1"/>
                <c:pt idx="0">
                  <c:v>Standart &lt; 30 menit</c:v>
                </c:pt>
              </c:strCache>
            </c:strRef>
          </c:tx>
          <c:cat>
            <c:strRef>
              <c:f>Sheet1!$A$2:$A$4</c:f>
              <c:strCache>
                <c:ptCount val="3"/>
                <c:pt idx="0">
                  <c:v>Oktober</c:v>
                </c:pt>
                <c:pt idx="1">
                  <c:v>Nopember</c:v>
                </c:pt>
                <c:pt idx="2">
                  <c:v>Desember</c:v>
                </c:pt>
              </c:strCache>
            </c:strRef>
          </c:cat>
          <c:val>
            <c:numRef>
              <c:f>Sheet1!$C$2:$C$4</c:f>
              <c:numCache>
                <c:formatCode>General</c:formatCode>
                <c:ptCount val="3"/>
                <c:pt idx="0">
                  <c:v>30</c:v>
                </c:pt>
                <c:pt idx="1">
                  <c:v>30</c:v>
                </c:pt>
                <c:pt idx="2">
                  <c:v>30</c:v>
                </c:pt>
              </c:numCache>
            </c:numRef>
          </c:val>
        </c:ser>
        <c:marker val="1"/>
        <c:axId val="102868096"/>
        <c:axId val="102869632"/>
      </c:lineChart>
      <c:catAx>
        <c:axId val="102868096"/>
        <c:scaling>
          <c:orientation val="minMax"/>
        </c:scaling>
        <c:axPos val="b"/>
        <c:tickLblPos val="nextTo"/>
        <c:txPr>
          <a:bodyPr/>
          <a:lstStyle/>
          <a:p>
            <a:pPr>
              <a:defRPr lang="id-ID"/>
            </a:pPr>
            <a:endParaRPr lang="id-ID"/>
          </a:p>
        </c:txPr>
        <c:crossAx val="102869632"/>
        <c:crosses val="autoZero"/>
        <c:auto val="1"/>
        <c:lblAlgn val="ctr"/>
        <c:lblOffset val="100"/>
      </c:catAx>
      <c:valAx>
        <c:axId val="102869632"/>
        <c:scaling>
          <c:orientation val="minMax"/>
        </c:scaling>
        <c:axPos val="l"/>
        <c:majorGridlines/>
        <c:numFmt formatCode="General" sourceLinked="1"/>
        <c:tickLblPos val="nextTo"/>
        <c:txPr>
          <a:bodyPr/>
          <a:lstStyle/>
          <a:p>
            <a:pPr>
              <a:defRPr lang="id-ID"/>
            </a:pPr>
            <a:endParaRPr lang="id-ID"/>
          </a:p>
        </c:txPr>
        <c:crossAx val="102868096"/>
        <c:crosses val="autoZero"/>
        <c:crossBetween val="between"/>
      </c:valAx>
      <c:dTable>
        <c:showHorzBorder val="1"/>
        <c:showVertBorder val="1"/>
        <c:showOutline val="1"/>
        <c:showKeys val="1"/>
        <c:txPr>
          <a:bodyPr/>
          <a:lstStyle/>
          <a:p>
            <a:pPr rtl="0">
              <a:defRPr lang="id-ID"/>
            </a:pPr>
            <a:endParaRPr lang="id-ID"/>
          </a:p>
        </c:txPr>
      </c:dTable>
      <c:spPr>
        <a:gradFill>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gradFill>
      </c:spPr>
    </c:plotArea>
    <c:legend>
      <c:legendPos val="r"/>
      <c:layout/>
      <c:txPr>
        <a:bodyPr/>
        <a:lstStyle/>
        <a:p>
          <a:pPr>
            <a:defRPr lang="id-ID"/>
          </a:pPr>
          <a:endParaRPr lang="id-ID"/>
        </a:p>
      </c:txPr>
    </c:legend>
    <c:plotVisOnly val="1"/>
    <c:dispBlanksAs val="gap"/>
  </c:chart>
  <c:spPr>
    <a:gradFill>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gradFill>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id-ID"/>
            </a:pPr>
            <a:r>
              <a:rPr lang="id-ID" sz="1000" b="1" i="0" u="none" strike="noStrike" baseline="0"/>
              <a:t>Kepatuhan  Identifikasi Pasien</a:t>
            </a:r>
            <a:endParaRPr lang="id-ID" sz="1000"/>
          </a:p>
        </c:rich>
      </c:tx>
      <c:layout/>
    </c:title>
    <c:plotArea>
      <c:layout/>
      <c:lineChart>
        <c:grouping val="standard"/>
        <c:ser>
          <c:idx val="0"/>
          <c:order val="0"/>
          <c:tx>
            <c:strRef>
              <c:f>Sheet1!$B$1</c:f>
              <c:strCache>
                <c:ptCount val="1"/>
                <c:pt idx="0">
                  <c:v>Capaian</c:v>
                </c:pt>
              </c:strCache>
            </c:strRef>
          </c:tx>
          <c:cat>
            <c:strRef>
              <c:f>Sheet1!$A$2:$A$4</c:f>
              <c:strCache>
                <c:ptCount val="3"/>
                <c:pt idx="0">
                  <c:v>Oktober</c:v>
                </c:pt>
                <c:pt idx="1">
                  <c:v>Nopember</c:v>
                </c:pt>
                <c:pt idx="2">
                  <c:v>Desember</c:v>
                </c:pt>
              </c:strCache>
            </c:strRef>
          </c:cat>
          <c:val>
            <c:numRef>
              <c:f>Sheet1!$B$2:$B$4</c:f>
              <c:numCache>
                <c:formatCode>General</c:formatCode>
                <c:ptCount val="3"/>
                <c:pt idx="0">
                  <c:v>99.8</c:v>
                </c:pt>
                <c:pt idx="1">
                  <c:v>99.7</c:v>
                </c:pt>
                <c:pt idx="2">
                  <c:v>99.6</c:v>
                </c:pt>
              </c:numCache>
            </c:numRef>
          </c:val>
        </c:ser>
        <c:ser>
          <c:idx val="1"/>
          <c:order val="1"/>
          <c:tx>
            <c:strRef>
              <c:f>Sheet1!$C$1</c:f>
              <c:strCache>
                <c:ptCount val="1"/>
                <c:pt idx="0">
                  <c:v>Standart</c:v>
                </c:pt>
              </c:strCache>
            </c:strRef>
          </c:tx>
          <c:cat>
            <c:strRef>
              <c:f>Sheet1!$A$2:$A$4</c:f>
              <c:strCache>
                <c:ptCount val="3"/>
                <c:pt idx="0">
                  <c:v>Oktober</c:v>
                </c:pt>
                <c:pt idx="1">
                  <c:v>Nopember</c:v>
                </c:pt>
                <c:pt idx="2">
                  <c:v>Desember</c:v>
                </c:pt>
              </c:strCache>
            </c:strRef>
          </c:cat>
          <c:val>
            <c:numRef>
              <c:f>Sheet1!$C$2:$C$4</c:f>
              <c:numCache>
                <c:formatCode>General</c:formatCode>
                <c:ptCount val="3"/>
                <c:pt idx="0">
                  <c:v>100</c:v>
                </c:pt>
                <c:pt idx="1">
                  <c:v>100</c:v>
                </c:pt>
                <c:pt idx="2">
                  <c:v>100</c:v>
                </c:pt>
              </c:numCache>
            </c:numRef>
          </c:val>
        </c:ser>
        <c:marker val="1"/>
        <c:axId val="103056128"/>
        <c:axId val="103057664"/>
      </c:lineChart>
      <c:catAx>
        <c:axId val="103056128"/>
        <c:scaling>
          <c:orientation val="minMax"/>
        </c:scaling>
        <c:axPos val="b"/>
        <c:numFmt formatCode="General" sourceLinked="0"/>
        <c:tickLblPos val="nextTo"/>
        <c:txPr>
          <a:bodyPr/>
          <a:lstStyle/>
          <a:p>
            <a:pPr>
              <a:defRPr lang="id-ID"/>
            </a:pPr>
            <a:endParaRPr lang="id-ID"/>
          </a:p>
        </c:txPr>
        <c:crossAx val="103057664"/>
        <c:crosses val="autoZero"/>
        <c:auto val="1"/>
        <c:lblAlgn val="ctr"/>
        <c:lblOffset val="100"/>
      </c:catAx>
      <c:valAx>
        <c:axId val="103057664"/>
        <c:scaling>
          <c:orientation val="minMax"/>
        </c:scaling>
        <c:axPos val="l"/>
        <c:majorGridlines/>
        <c:numFmt formatCode="General" sourceLinked="1"/>
        <c:tickLblPos val="nextTo"/>
        <c:txPr>
          <a:bodyPr/>
          <a:lstStyle/>
          <a:p>
            <a:pPr>
              <a:defRPr lang="id-ID"/>
            </a:pPr>
            <a:endParaRPr lang="id-ID"/>
          </a:p>
        </c:txPr>
        <c:crossAx val="103056128"/>
        <c:crosses val="autoZero"/>
        <c:crossBetween val="between"/>
      </c:valAx>
      <c:dTable>
        <c:showHorzBorder val="1"/>
        <c:showVertBorder val="1"/>
        <c:showOutline val="1"/>
        <c:showKeys val="1"/>
        <c:txPr>
          <a:bodyPr/>
          <a:lstStyle/>
          <a:p>
            <a:pPr rtl="0">
              <a:defRPr lang="id-ID"/>
            </a:pPr>
            <a:endParaRPr lang="id-ID"/>
          </a:p>
        </c:txPr>
      </c:dTable>
      <c:spPr>
        <a:gradFill>
          <a:gsLst>
            <a:gs pos="0">
              <a:srgbClr val="4F81BD">
                <a:tint val="66000"/>
                <a:satMod val="160000"/>
              </a:srgbClr>
            </a:gs>
            <a:gs pos="50000">
              <a:srgbClr val="4F81BD">
                <a:tint val="44500"/>
                <a:satMod val="160000"/>
              </a:srgbClr>
            </a:gs>
            <a:gs pos="100000">
              <a:srgbClr val="4F81BD">
                <a:tint val="23500"/>
                <a:satMod val="160000"/>
              </a:srgbClr>
            </a:gs>
          </a:gsLst>
          <a:lin ang="6000000" scaled="0"/>
        </a:gradFill>
      </c:spPr>
    </c:plotArea>
    <c:legend>
      <c:legendPos val="r"/>
      <c:layout/>
      <c:txPr>
        <a:bodyPr/>
        <a:lstStyle/>
        <a:p>
          <a:pPr>
            <a:defRPr lang="id-ID"/>
          </a:pPr>
          <a:endParaRPr lang="id-ID"/>
        </a:p>
      </c:txPr>
    </c:legend>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6000000" scaled="0"/>
    </a:gradFill>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id-ID"/>
            </a:pPr>
            <a:r>
              <a:rPr lang="id-ID" sz="1000" b="1" i="0" u="none" strike="noStrike" baseline="0"/>
              <a:t>Pemberian loading dose aspilet dan clopidogrel pada pasien STEMI dan NSTEMI (IGD)</a:t>
            </a:r>
            <a:endParaRPr lang="id-ID" sz="1000"/>
          </a:p>
        </c:rich>
      </c:tx>
      <c:layout/>
    </c:title>
    <c:plotArea>
      <c:layout/>
      <c:lineChart>
        <c:grouping val="standard"/>
        <c:ser>
          <c:idx val="0"/>
          <c:order val="0"/>
          <c:tx>
            <c:strRef>
              <c:f>Sheet1!$B$1</c:f>
              <c:strCache>
                <c:ptCount val="1"/>
                <c:pt idx="0">
                  <c:v>Capaian</c:v>
                </c:pt>
              </c:strCache>
            </c:strRef>
          </c:tx>
          <c:cat>
            <c:strRef>
              <c:f>Sheet1!$A$2:$A$3</c:f>
              <c:strCache>
                <c:ptCount val="2"/>
                <c:pt idx="0">
                  <c:v>Nopember</c:v>
                </c:pt>
                <c:pt idx="1">
                  <c:v>Desember</c:v>
                </c:pt>
              </c:strCache>
            </c:strRef>
          </c:cat>
          <c:val>
            <c:numRef>
              <c:f>Sheet1!$B$2:$B$3</c:f>
              <c:numCache>
                <c:formatCode>General</c:formatCode>
                <c:ptCount val="2"/>
                <c:pt idx="0">
                  <c:v>100</c:v>
                </c:pt>
                <c:pt idx="1">
                  <c:v>100</c:v>
                </c:pt>
              </c:numCache>
            </c:numRef>
          </c:val>
        </c:ser>
        <c:ser>
          <c:idx val="1"/>
          <c:order val="1"/>
          <c:tx>
            <c:strRef>
              <c:f>Sheet1!$C$1</c:f>
              <c:strCache>
                <c:ptCount val="1"/>
                <c:pt idx="0">
                  <c:v>Standart</c:v>
                </c:pt>
              </c:strCache>
            </c:strRef>
          </c:tx>
          <c:cat>
            <c:strRef>
              <c:f>Sheet1!$A$2:$A$3</c:f>
              <c:strCache>
                <c:ptCount val="2"/>
                <c:pt idx="0">
                  <c:v>Nopember</c:v>
                </c:pt>
                <c:pt idx="1">
                  <c:v>Desember</c:v>
                </c:pt>
              </c:strCache>
            </c:strRef>
          </c:cat>
          <c:val>
            <c:numRef>
              <c:f>Sheet1!$C$2:$C$3</c:f>
              <c:numCache>
                <c:formatCode>General</c:formatCode>
                <c:ptCount val="2"/>
                <c:pt idx="0">
                  <c:v>80</c:v>
                </c:pt>
                <c:pt idx="1">
                  <c:v>80</c:v>
                </c:pt>
              </c:numCache>
            </c:numRef>
          </c:val>
        </c:ser>
        <c:marker val="1"/>
        <c:axId val="102965632"/>
        <c:axId val="102967168"/>
      </c:lineChart>
      <c:catAx>
        <c:axId val="102965632"/>
        <c:scaling>
          <c:orientation val="minMax"/>
        </c:scaling>
        <c:axPos val="b"/>
        <c:numFmt formatCode="General" sourceLinked="0"/>
        <c:tickLblPos val="nextTo"/>
        <c:txPr>
          <a:bodyPr/>
          <a:lstStyle/>
          <a:p>
            <a:pPr>
              <a:defRPr lang="id-ID"/>
            </a:pPr>
            <a:endParaRPr lang="id-ID"/>
          </a:p>
        </c:txPr>
        <c:crossAx val="102967168"/>
        <c:crosses val="autoZero"/>
        <c:auto val="1"/>
        <c:lblAlgn val="ctr"/>
        <c:lblOffset val="100"/>
      </c:catAx>
      <c:valAx>
        <c:axId val="102967168"/>
        <c:scaling>
          <c:orientation val="minMax"/>
        </c:scaling>
        <c:axPos val="l"/>
        <c:majorGridlines/>
        <c:numFmt formatCode="General" sourceLinked="1"/>
        <c:tickLblPos val="nextTo"/>
        <c:txPr>
          <a:bodyPr/>
          <a:lstStyle/>
          <a:p>
            <a:pPr>
              <a:defRPr lang="id-ID"/>
            </a:pPr>
            <a:endParaRPr lang="id-ID"/>
          </a:p>
        </c:txPr>
        <c:crossAx val="102965632"/>
        <c:crosses val="autoZero"/>
        <c:crossBetween val="between"/>
      </c:valAx>
      <c:dTable>
        <c:showHorzBorder val="1"/>
        <c:showVertBorder val="1"/>
        <c:showOutline val="1"/>
        <c:showKeys val="1"/>
        <c:txPr>
          <a:bodyPr/>
          <a:lstStyle/>
          <a:p>
            <a:pPr rtl="0">
              <a:defRPr lang="id-ID"/>
            </a:pPr>
            <a:endParaRPr lang="id-ID"/>
          </a:p>
        </c:txPr>
      </c:dTable>
      <c:spPr>
        <a:gradFill>
          <a:gsLst>
            <a:gs pos="0">
              <a:srgbClr val="4F81BD">
                <a:tint val="66000"/>
                <a:satMod val="160000"/>
              </a:srgbClr>
            </a:gs>
            <a:gs pos="50000">
              <a:srgbClr val="4F81BD">
                <a:tint val="44500"/>
                <a:satMod val="160000"/>
              </a:srgbClr>
            </a:gs>
            <a:gs pos="100000">
              <a:srgbClr val="4F81BD">
                <a:tint val="23500"/>
                <a:satMod val="160000"/>
              </a:srgbClr>
            </a:gs>
          </a:gsLst>
          <a:lin ang="6000000" scaled="0"/>
        </a:gradFill>
      </c:spPr>
    </c:plotArea>
    <c:legend>
      <c:legendPos val="r"/>
      <c:layout/>
      <c:txPr>
        <a:bodyPr/>
        <a:lstStyle/>
        <a:p>
          <a:pPr>
            <a:defRPr lang="id-ID"/>
          </a:pPr>
          <a:endParaRPr lang="id-ID"/>
        </a:p>
      </c:txPr>
    </c:legend>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6000000" scaled="0"/>
    </a:gradFill>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id-ID"/>
            </a:pPr>
            <a:r>
              <a:rPr lang="id-ID" sz="1000" b="1" i="0" u="none" strike="noStrike" baseline="0"/>
              <a:t>Pemberian Fibrinolisis pada pasien STEMI non PCI (IGD)</a:t>
            </a:r>
            <a:endParaRPr lang="id-ID" sz="1000"/>
          </a:p>
        </c:rich>
      </c:tx>
      <c:layout/>
    </c:title>
    <c:plotArea>
      <c:layout/>
      <c:lineChart>
        <c:grouping val="standard"/>
        <c:ser>
          <c:idx val="0"/>
          <c:order val="0"/>
          <c:tx>
            <c:strRef>
              <c:f>Sheet1!$B$1</c:f>
              <c:strCache>
                <c:ptCount val="1"/>
                <c:pt idx="0">
                  <c:v>Capaian</c:v>
                </c:pt>
              </c:strCache>
            </c:strRef>
          </c:tx>
          <c:cat>
            <c:strRef>
              <c:f>Sheet1!$A$2:$A$4</c:f>
              <c:strCache>
                <c:ptCount val="3"/>
                <c:pt idx="0">
                  <c:v>Oktober</c:v>
                </c:pt>
                <c:pt idx="1">
                  <c:v>Nopember</c:v>
                </c:pt>
                <c:pt idx="2">
                  <c:v>Desember</c:v>
                </c:pt>
              </c:strCache>
            </c:strRef>
          </c:cat>
          <c:val>
            <c:numRef>
              <c:f>Sheet1!$B$2:$B$4</c:f>
              <c:numCache>
                <c:formatCode>General</c:formatCode>
                <c:ptCount val="3"/>
                <c:pt idx="0">
                  <c:v>0</c:v>
                </c:pt>
                <c:pt idx="1">
                  <c:v>0</c:v>
                </c:pt>
                <c:pt idx="2">
                  <c:v>0</c:v>
                </c:pt>
              </c:numCache>
            </c:numRef>
          </c:val>
        </c:ser>
        <c:ser>
          <c:idx val="1"/>
          <c:order val="1"/>
          <c:tx>
            <c:strRef>
              <c:f>Sheet1!$C$1</c:f>
              <c:strCache>
                <c:ptCount val="1"/>
                <c:pt idx="0">
                  <c:v>Standart</c:v>
                </c:pt>
              </c:strCache>
            </c:strRef>
          </c:tx>
          <c:cat>
            <c:strRef>
              <c:f>Sheet1!$A$2:$A$4</c:f>
              <c:strCache>
                <c:ptCount val="3"/>
                <c:pt idx="0">
                  <c:v>Oktober</c:v>
                </c:pt>
                <c:pt idx="1">
                  <c:v>Nopember</c:v>
                </c:pt>
                <c:pt idx="2">
                  <c:v>Desember</c:v>
                </c:pt>
              </c:strCache>
            </c:strRef>
          </c:cat>
          <c:val>
            <c:numRef>
              <c:f>Sheet1!$C$2:$C$4</c:f>
              <c:numCache>
                <c:formatCode>General</c:formatCode>
                <c:ptCount val="3"/>
                <c:pt idx="0">
                  <c:v>90</c:v>
                </c:pt>
                <c:pt idx="1">
                  <c:v>90</c:v>
                </c:pt>
                <c:pt idx="2">
                  <c:v>90</c:v>
                </c:pt>
              </c:numCache>
            </c:numRef>
          </c:val>
        </c:ser>
        <c:marker val="1"/>
        <c:axId val="63320064"/>
        <c:axId val="63321600"/>
      </c:lineChart>
      <c:catAx>
        <c:axId val="63320064"/>
        <c:scaling>
          <c:orientation val="minMax"/>
        </c:scaling>
        <c:axPos val="b"/>
        <c:numFmt formatCode="General" sourceLinked="0"/>
        <c:tickLblPos val="nextTo"/>
        <c:txPr>
          <a:bodyPr/>
          <a:lstStyle/>
          <a:p>
            <a:pPr>
              <a:defRPr lang="id-ID"/>
            </a:pPr>
            <a:endParaRPr lang="id-ID"/>
          </a:p>
        </c:txPr>
        <c:crossAx val="63321600"/>
        <c:crosses val="autoZero"/>
        <c:auto val="1"/>
        <c:lblAlgn val="ctr"/>
        <c:lblOffset val="100"/>
      </c:catAx>
      <c:valAx>
        <c:axId val="63321600"/>
        <c:scaling>
          <c:orientation val="minMax"/>
        </c:scaling>
        <c:axPos val="l"/>
        <c:majorGridlines/>
        <c:numFmt formatCode="General" sourceLinked="1"/>
        <c:tickLblPos val="nextTo"/>
        <c:txPr>
          <a:bodyPr/>
          <a:lstStyle/>
          <a:p>
            <a:pPr>
              <a:defRPr lang="id-ID"/>
            </a:pPr>
            <a:endParaRPr lang="id-ID"/>
          </a:p>
        </c:txPr>
        <c:crossAx val="63320064"/>
        <c:crosses val="autoZero"/>
        <c:crossBetween val="between"/>
      </c:valAx>
      <c:dTable>
        <c:showHorzBorder val="1"/>
        <c:showVertBorder val="1"/>
        <c:showOutline val="1"/>
        <c:txPr>
          <a:bodyPr/>
          <a:lstStyle/>
          <a:p>
            <a:pPr rtl="0">
              <a:defRPr lang="id-ID"/>
            </a:pPr>
            <a:endParaRPr lang="id-ID"/>
          </a:p>
        </c:txPr>
      </c:dTable>
      <c:spPr>
        <a:gradFill>
          <a:gsLst>
            <a:gs pos="0">
              <a:srgbClr val="4F81BD">
                <a:tint val="66000"/>
                <a:satMod val="160000"/>
              </a:srgbClr>
            </a:gs>
            <a:gs pos="50000">
              <a:srgbClr val="4F81BD">
                <a:tint val="44500"/>
                <a:satMod val="160000"/>
              </a:srgbClr>
            </a:gs>
            <a:gs pos="100000">
              <a:srgbClr val="4F81BD">
                <a:tint val="23500"/>
                <a:satMod val="160000"/>
              </a:srgbClr>
            </a:gs>
          </a:gsLst>
          <a:lin ang="6000000" scaled="0"/>
        </a:gradFill>
      </c:spPr>
    </c:plotArea>
    <c:legend>
      <c:legendPos val="r"/>
      <c:layout/>
      <c:txPr>
        <a:bodyPr/>
        <a:lstStyle/>
        <a:p>
          <a:pPr>
            <a:defRPr lang="id-ID"/>
          </a:pPr>
          <a:endParaRPr lang="id-ID"/>
        </a:p>
      </c:txPr>
    </c:legend>
    <c:plotVisOnly val="1"/>
    <c:dispBlanksAs val="gap"/>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id-ID"/>
            </a:pPr>
            <a:r>
              <a:rPr lang="id-ID" sz="1000" b="1" i="0" u="none" strike="noStrike" baseline="0"/>
              <a:t>Pemberian Ace Inhibitor atau ARB pada pasien ADFH (Rawat Inap dan IPI)</a:t>
            </a:r>
            <a:endParaRPr lang="id-ID" sz="1000"/>
          </a:p>
        </c:rich>
      </c:tx>
      <c:layout/>
    </c:title>
    <c:plotArea>
      <c:layout/>
      <c:lineChart>
        <c:grouping val="standard"/>
        <c:ser>
          <c:idx val="0"/>
          <c:order val="0"/>
          <c:tx>
            <c:strRef>
              <c:f>Sheet1!$B$1</c:f>
              <c:strCache>
                <c:ptCount val="1"/>
                <c:pt idx="0">
                  <c:v>Capaian</c:v>
                </c:pt>
              </c:strCache>
            </c:strRef>
          </c:tx>
          <c:cat>
            <c:strRef>
              <c:f>Sheet1!$A$2:$A$3</c:f>
              <c:strCache>
                <c:ptCount val="2"/>
                <c:pt idx="0">
                  <c:v>Nopember</c:v>
                </c:pt>
                <c:pt idx="1">
                  <c:v>Desember</c:v>
                </c:pt>
              </c:strCache>
            </c:strRef>
          </c:cat>
          <c:val>
            <c:numRef>
              <c:f>Sheet1!$B$2:$B$3</c:f>
              <c:numCache>
                <c:formatCode>General</c:formatCode>
                <c:ptCount val="2"/>
                <c:pt idx="0">
                  <c:v>100</c:v>
                </c:pt>
                <c:pt idx="1">
                  <c:v>100</c:v>
                </c:pt>
              </c:numCache>
            </c:numRef>
          </c:val>
        </c:ser>
        <c:ser>
          <c:idx val="1"/>
          <c:order val="1"/>
          <c:tx>
            <c:strRef>
              <c:f>Sheet1!$C$1</c:f>
              <c:strCache>
                <c:ptCount val="1"/>
                <c:pt idx="0">
                  <c:v>Standart</c:v>
                </c:pt>
              </c:strCache>
            </c:strRef>
          </c:tx>
          <c:cat>
            <c:strRef>
              <c:f>Sheet1!$A$2:$A$3</c:f>
              <c:strCache>
                <c:ptCount val="2"/>
                <c:pt idx="0">
                  <c:v>Nopember</c:v>
                </c:pt>
                <c:pt idx="1">
                  <c:v>Desember</c:v>
                </c:pt>
              </c:strCache>
            </c:strRef>
          </c:cat>
          <c:val>
            <c:numRef>
              <c:f>Sheet1!$C$2:$C$3</c:f>
              <c:numCache>
                <c:formatCode>General</c:formatCode>
                <c:ptCount val="2"/>
                <c:pt idx="0">
                  <c:v>90</c:v>
                </c:pt>
                <c:pt idx="1">
                  <c:v>90</c:v>
                </c:pt>
              </c:numCache>
            </c:numRef>
          </c:val>
        </c:ser>
        <c:marker val="1"/>
        <c:axId val="102993280"/>
        <c:axId val="102995072"/>
      </c:lineChart>
      <c:catAx>
        <c:axId val="102993280"/>
        <c:scaling>
          <c:orientation val="minMax"/>
        </c:scaling>
        <c:axPos val="b"/>
        <c:numFmt formatCode="General" sourceLinked="0"/>
        <c:tickLblPos val="nextTo"/>
        <c:txPr>
          <a:bodyPr/>
          <a:lstStyle/>
          <a:p>
            <a:pPr>
              <a:defRPr lang="id-ID"/>
            </a:pPr>
            <a:endParaRPr lang="id-ID"/>
          </a:p>
        </c:txPr>
        <c:crossAx val="102995072"/>
        <c:crosses val="autoZero"/>
        <c:auto val="1"/>
        <c:lblAlgn val="ctr"/>
        <c:lblOffset val="100"/>
      </c:catAx>
      <c:valAx>
        <c:axId val="102995072"/>
        <c:scaling>
          <c:orientation val="minMax"/>
        </c:scaling>
        <c:axPos val="l"/>
        <c:majorGridlines/>
        <c:numFmt formatCode="General" sourceLinked="1"/>
        <c:tickLblPos val="nextTo"/>
        <c:txPr>
          <a:bodyPr/>
          <a:lstStyle/>
          <a:p>
            <a:pPr>
              <a:defRPr lang="id-ID"/>
            </a:pPr>
            <a:endParaRPr lang="id-ID"/>
          </a:p>
        </c:txPr>
        <c:crossAx val="102993280"/>
        <c:crosses val="autoZero"/>
        <c:crossBetween val="between"/>
      </c:valAx>
      <c:dTable>
        <c:showHorzBorder val="1"/>
        <c:showVertBorder val="1"/>
        <c:showOutline val="1"/>
        <c:showKeys val="1"/>
        <c:txPr>
          <a:bodyPr/>
          <a:lstStyle/>
          <a:p>
            <a:pPr rtl="0">
              <a:defRPr lang="id-ID"/>
            </a:pPr>
            <a:endParaRPr lang="id-ID"/>
          </a:p>
        </c:txPr>
      </c:dTable>
      <c:spPr>
        <a:gradFill>
          <a:gsLst>
            <a:gs pos="0">
              <a:srgbClr val="4F81BD">
                <a:tint val="66000"/>
                <a:satMod val="160000"/>
              </a:srgbClr>
            </a:gs>
            <a:gs pos="50000">
              <a:srgbClr val="4F81BD">
                <a:tint val="44500"/>
                <a:satMod val="160000"/>
              </a:srgbClr>
            </a:gs>
            <a:gs pos="100000">
              <a:srgbClr val="4F81BD">
                <a:tint val="23500"/>
                <a:satMod val="160000"/>
              </a:srgbClr>
            </a:gs>
          </a:gsLst>
          <a:lin ang="6000000" scaled="0"/>
        </a:gradFill>
      </c:spPr>
    </c:plotArea>
    <c:legend>
      <c:legendPos val="r"/>
      <c:layout/>
      <c:txPr>
        <a:bodyPr/>
        <a:lstStyle/>
        <a:p>
          <a:pPr>
            <a:defRPr lang="id-ID"/>
          </a:pPr>
          <a:endParaRPr lang="id-ID"/>
        </a:p>
      </c:txPr>
    </c:legend>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6000000" scaled="0"/>
    </a:gradFill>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id-ID" sz="1800" b="1" i="0" u="none" strike="noStrike" kern="1200" baseline="0">
                <a:solidFill>
                  <a:sysClr val="windowText" lastClr="000000"/>
                </a:solidFill>
                <a:latin typeface="+mn-lt"/>
                <a:ea typeface="+mn-ea"/>
                <a:cs typeface="+mn-cs"/>
              </a:defRPr>
            </a:pPr>
            <a:r>
              <a:rPr lang="id-ID" sz="1000"/>
              <a:t>Respon Time Pelayanan Streptokinase di unit Farmasi</a:t>
            </a:r>
          </a:p>
          <a:p>
            <a:pPr marL="0" marR="0" indent="0" algn="ctr" defTabSz="914400" rtl="0" eaLnBrk="1" fontAlgn="auto" latinLnBrk="0" hangingPunct="1">
              <a:lnSpc>
                <a:spcPct val="100000"/>
              </a:lnSpc>
              <a:spcBef>
                <a:spcPts val="0"/>
              </a:spcBef>
              <a:spcAft>
                <a:spcPts val="0"/>
              </a:spcAft>
              <a:buClrTx/>
              <a:buSzTx/>
              <a:buFontTx/>
              <a:buNone/>
              <a:tabLst/>
              <a:defRPr lang="id-ID" sz="1800" b="1" i="0" u="none" strike="noStrike" kern="1200" baseline="0">
                <a:solidFill>
                  <a:sysClr val="windowText" lastClr="000000"/>
                </a:solidFill>
                <a:latin typeface="+mn-lt"/>
                <a:ea typeface="+mn-ea"/>
                <a:cs typeface="+mn-cs"/>
              </a:defRPr>
            </a:pPr>
            <a:endParaRPr lang="id-ID"/>
          </a:p>
        </c:rich>
      </c:tx>
      <c:layout/>
    </c:title>
    <c:plotArea>
      <c:layout/>
      <c:lineChart>
        <c:grouping val="standard"/>
        <c:ser>
          <c:idx val="0"/>
          <c:order val="0"/>
          <c:tx>
            <c:strRef>
              <c:f>Sheet1!$B$1</c:f>
              <c:strCache>
                <c:ptCount val="1"/>
                <c:pt idx="0">
                  <c:v>Capaian</c:v>
                </c:pt>
              </c:strCache>
            </c:strRef>
          </c:tx>
          <c:cat>
            <c:strRef>
              <c:f>Sheet1!$A$2:$A$4</c:f>
              <c:strCache>
                <c:ptCount val="3"/>
                <c:pt idx="0">
                  <c:v>Oktober</c:v>
                </c:pt>
                <c:pt idx="1">
                  <c:v>Nopember</c:v>
                </c:pt>
                <c:pt idx="2">
                  <c:v>Desember</c:v>
                </c:pt>
              </c:strCache>
            </c:strRef>
          </c:cat>
          <c:val>
            <c:numRef>
              <c:f>Sheet1!$B$2:$B$4</c:f>
              <c:numCache>
                <c:formatCode>General</c:formatCode>
                <c:ptCount val="3"/>
                <c:pt idx="0">
                  <c:v>100</c:v>
                </c:pt>
                <c:pt idx="1">
                  <c:v>100</c:v>
                </c:pt>
              </c:numCache>
            </c:numRef>
          </c:val>
        </c:ser>
        <c:ser>
          <c:idx val="1"/>
          <c:order val="1"/>
          <c:tx>
            <c:strRef>
              <c:f>Sheet1!$C$1</c:f>
              <c:strCache>
                <c:ptCount val="1"/>
                <c:pt idx="0">
                  <c:v>Standart</c:v>
                </c:pt>
              </c:strCache>
            </c:strRef>
          </c:tx>
          <c:cat>
            <c:strRef>
              <c:f>Sheet1!$A$2:$A$4</c:f>
              <c:strCache>
                <c:ptCount val="3"/>
                <c:pt idx="0">
                  <c:v>Oktober</c:v>
                </c:pt>
                <c:pt idx="1">
                  <c:v>Nopember</c:v>
                </c:pt>
                <c:pt idx="2">
                  <c:v>Desember</c:v>
                </c:pt>
              </c:strCache>
            </c:strRef>
          </c:cat>
          <c:val>
            <c:numRef>
              <c:f>Sheet1!$C$2:$C$4</c:f>
              <c:numCache>
                <c:formatCode>General</c:formatCode>
                <c:ptCount val="3"/>
                <c:pt idx="0">
                  <c:v>90</c:v>
                </c:pt>
                <c:pt idx="1">
                  <c:v>90</c:v>
                </c:pt>
                <c:pt idx="2">
                  <c:v>90</c:v>
                </c:pt>
              </c:numCache>
            </c:numRef>
          </c:val>
        </c:ser>
        <c:marker val="1"/>
        <c:axId val="103099392"/>
        <c:axId val="103146240"/>
      </c:lineChart>
      <c:catAx>
        <c:axId val="103099392"/>
        <c:scaling>
          <c:orientation val="minMax"/>
        </c:scaling>
        <c:axPos val="b"/>
        <c:numFmt formatCode="General" sourceLinked="0"/>
        <c:tickLblPos val="nextTo"/>
        <c:txPr>
          <a:bodyPr/>
          <a:lstStyle/>
          <a:p>
            <a:pPr>
              <a:defRPr lang="id-ID"/>
            </a:pPr>
            <a:endParaRPr lang="id-ID"/>
          </a:p>
        </c:txPr>
        <c:crossAx val="103146240"/>
        <c:crosses val="autoZero"/>
        <c:auto val="1"/>
        <c:lblAlgn val="ctr"/>
        <c:lblOffset val="100"/>
      </c:catAx>
      <c:valAx>
        <c:axId val="103146240"/>
        <c:scaling>
          <c:orientation val="minMax"/>
        </c:scaling>
        <c:axPos val="l"/>
        <c:majorGridlines/>
        <c:numFmt formatCode="General" sourceLinked="1"/>
        <c:tickLblPos val="nextTo"/>
        <c:txPr>
          <a:bodyPr/>
          <a:lstStyle/>
          <a:p>
            <a:pPr>
              <a:defRPr lang="id-ID"/>
            </a:pPr>
            <a:endParaRPr lang="id-ID"/>
          </a:p>
        </c:txPr>
        <c:crossAx val="103099392"/>
        <c:crosses val="autoZero"/>
        <c:crossBetween val="between"/>
      </c:valAx>
      <c:dTable>
        <c:showHorzBorder val="1"/>
        <c:showVertBorder val="1"/>
        <c:showOutline val="1"/>
        <c:showKeys val="1"/>
        <c:txPr>
          <a:bodyPr/>
          <a:lstStyle/>
          <a:p>
            <a:pPr rtl="0">
              <a:defRPr lang="id-ID"/>
            </a:pPr>
            <a:endParaRPr lang="id-ID"/>
          </a:p>
        </c:txPr>
      </c:dTable>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legend>
      <c:legendPos val="r"/>
      <c:layout/>
      <c:txPr>
        <a:bodyPr/>
        <a:lstStyle/>
        <a:p>
          <a:pPr>
            <a:defRPr lang="id-ID"/>
          </a:pPr>
          <a:endParaRPr lang="id-ID"/>
        </a:p>
      </c:txPr>
    </c:legend>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id-ID" sz="1800" b="1" i="0" u="none" strike="noStrike" kern="1200" baseline="0">
                <a:solidFill>
                  <a:sysClr val="windowText" lastClr="000000"/>
                </a:solidFill>
                <a:latin typeface="+mn-lt"/>
                <a:ea typeface="+mn-ea"/>
                <a:cs typeface="+mn-cs"/>
              </a:defRPr>
            </a:pPr>
            <a:r>
              <a:rPr lang="en-US" sz="1000" b="1"/>
              <a:t>Penundaan Operasi Elektif</a:t>
            </a:r>
            <a:endParaRPr lang="id-ID" sz="1000"/>
          </a:p>
          <a:p>
            <a:pPr marL="0" marR="0" indent="0" algn="ctr" defTabSz="914400" rtl="0" eaLnBrk="1" fontAlgn="auto" latinLnBrk="0" hangingPunct="1">
              <a:lnSpc>
                <a:spcPct val="100000"/>
              </a:lnSpc>
              <a:spcBef>
                <a:spcPts val="0"/>
              </a:spcBef>
              <a:spcAft>
                <a:spcPts val="0"/>
              </a:spcAft>
              <a:buClrTx/>
              <a:buSzTx/>
              <a:buFontTx/>
              <a:buNone/>
              <a:tabLst/>
              <a:defRPr lang="id-ID" sz="1800" b="1" i="0" u="none" strike="noStrike" kern="1200" baseline="0">
                <a:solidFill>
                  <a:sysClr val="windowText" lastClr="000000"/>
                </a:solidFill>
                <a:latin typeface="+mn-lt"/>
                <a:ea typeface="+mn-ea"/>
                <a:cs typeface="+mn-cs"/>
              </a:defRPr>
            </a:pPr>
            <a:endParaRPr lang="id-ID"/>
          </a:p>
        </c:rich>
      </c:tx>
      <c:layout/>
      <c:overlay val="1"/>
    </c:title>
    <c:plotArea>
      <c:layout/>
      <c:lineChart>
        <c:grouping val="standard"/>
        <c:ser>
          <c:idx val="0"/>
          <c:order val="0"/>
          <c:tx>
            <c:strRef>
              <c:f>Sheet1!$B$1</c:f>
              <c:strCache>
                <c:ptCount val="1"/>
                <c:pt idx="0">
                  <c:v>Capaian</c:v>
                </c:pt>
              </c:strCache>
            </c:strRef>
          </c:tx>
          <c:cat>
            <c:strRef>
              <c:f>Sheet1!$A$2:$A$4</c:f>
              <c:strCache>
                <c:ptCount val="3"/>
                <c:pt idx="0">
                  <c:v>Oktober</c:v>
                </c:pt>
                <c:pt idx="1">
                  <c:v>Nopember</c:v>
                </c:pt>
                <c:pt idx="2">
                  <c:v>Desember</c:v>
                </c:pt>
              </c:strCache>
            </c:strRef>
          </c:cat>
          <c:val>
            <c:numRef>
              <c:f>Sheet1!$B$2:$B$4</c:f>
              <c:numCache>
                <c:formatCode>General</c:formatCode>
                <c:ptCount val="3"/>
                <c:pt idx="0">
                  <c:v>2</c:v>
                </c:pt>
                <c:pt idx="1">
                  <c:v>2</c:v>
                </c:pt>
                <c:pt idx="2">
                  <c:v>1</c:v>
                </c:pt>
              </c:numCache>
            </c:numRef>
          </c:val>
        </c:ser>
        <c:ser>
          <c:idx val="1"/>
          <c:order val="1"/>
          <c:tx>
            <c:strRef>
              <c:f>Sheet1!$C$1</c:f>
              <c:strCache>
                <c:ptCount val="1"/>
                <c:pt idx="0">
                  <c:v>Standart</c:v>
                </c:pt>
              </c:strCache>
            </c:strRef>
          </c:tx>
          <c:cat>
            <c:strRef>
              <c:f>Sheet1!$A$2:$A$4</c:f>
              <c:strCache>
                <c:ptCount val="3"/>
                <c:pt idx="0">
                  <c:v>Oktober</c:v>
                </c:pt>
                <c:pt idx="1">
                  <c:v>Nopember</c:v>
                </c:pt>
                <c:pt idx="2">
                  <c:v>Desember</c:v>
                </c:pt>
              </c:strCache>
            </c:strRef>
          </c:cat>
          <c:val>
            <c:numRef>
              <c:f>Sheet1!$C$2:$C$4</c:f>
              <c:numCache>
                <c:formatCode>General</c:formatCode>
                <c:ptCount val="3"/>
                <c:pt idx="0">
                  <c:v>5</c:v>
                </c:pt>
                <c:pt idx="1">
                  <c:v>5</c:v>
                </c:pt>
                <c:pt idx="2">
                  <c:v>5</c:v>
                </c:pt>
              </c:numCache>
            </c:numRef>
          </c:val>
        </c:ser>
        <c:marker val="1"/>
        <c:axId val="86909696"/>
        <c:axId val="86911232"/>
      </c:lineChart>
      <c:catAx>
        <c:axId val="86909696"/>
        <c:scaling>
          <c:orientation val="minMax"/>
        </c:scaling>
        <c:axPos val="b"/>
        <c:minorGridlines/>
        <c:numFmt formatCode="General" sourceLinked="0"/>
        <c:tickLblPos val="nextTo"/>
        <c:txPr>
          <a:bodyPr/>
          <a:lstStyle/>
          <a:p>
            <a:pPr>
              <a:defRPr lang="id-ID"/>
            </a:pPr>
            <a:endParaRPr lang="id-ID"/>
          </a:p>
        </c:txPr>
        <c:crossAx val="86911232"/>
        <c:crosses val="autoZero"/>
        <c:auto val="1"/>
        <c:lblAlgn val="ctr"/>
        <c:lblOffset val="100"/>
      </c:catAx>
      <c:valAx>
        <c:axId val="86911232"/>
        <c:scaling>
          <c:orientation val="minMax"/>
        </c:scaling>
        <c:axPos val="l"/>
        <c:majorGridlines/>
        <c:numFmt formatCode="General" sourceLinked="1"/>
        <c:tickLblPos val="nextTo"/>
        <c:txPr>
          <a:bodyPr/>
          <a:lstStyle/>
          <a:p>
            <a:pPr>
              <a:defRPr lang="id-ID"/>
            </a:pPr>
            <a:endParaRPr lang="id-ID"/>
          </a:p>
        </c:txPr>
        <c:crossAx val="86909696"/>
        <c:crosses val="autoZero"/>
        <c:crossBetween val="between"/>
      </c:valAx>
      <c:dTable>
        <c:showHorzBorder val="1"/>
        <c:showVertBorder val="1"/>
        <c:showOutline val="1"/>
        <c:showKeys val="1"/>
        <c:txPr>
          <a:bodyPr/>
          <a:lstStyle/>
          <a:p>
            <a:pPr rtl="0">
              <a:defRPr lang="id-ID"/>
            </a:pPr>
            <a:endParaRPr lang="id-ID"/>
          </a:p>
        </c:txPr>
      </c:dTable>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plotArea>
    <c:legend>
      <c:legendPos val="b"/>
      <c:layout>
        <c:manualLayout>
          <c:xMode val="edge"/>
          <c:yMode val="edge"/>
          <c:x val="0.33975685331000588"/>
          <c:y val="0.90150137674508479"/>
          <c:w val="0.39224537037037038"/>
          <c:h val="7.3958745954301783E-2"/>
        </c:manualLayout>
      </c:layout>
      <c:spPr>
        <a:noFill/>
      </c:spPr>
      <c:txPr>
        <a:bodyPr/>
        <a:lstStyle/>
        <a:p>
          <a:pPr>
            <a:defRPr lang="id-ID"/>
          </a:pPr>
          <a:endParaRPr lang="id-ID"/>
        </a:p>
      </c:txPr>
    </c:legend>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id-ID"/>
            </a:pPr>
            <a:r>
              <a:rPr lang="en-US" sz="1000" b="1" i="0" u="none" strike="noStrike" baseline="0"/>
              <a:t>Kepatuhan Penggunaan Formularium Nasional</a:t>
            </a:r>
            <a:endParaRPr lang="id-ID" sz="1000"/>
          </a:p>
        </c:rich>
      </c:tx>
      <c:layout/>
      <c:overlay val="1"/>
    </c:title>
    <c:plotArea>
      <c:layout/>
      <c:lineChart>
        <c:grouping val="standard"/>
        <c:ser>
          <c:idx val="0"/>
          <c:order val="0"/>
          <c:tx>
            <c:strRef>
              <c:f>Sheet1!$B$1</c:f>
              <c:strCache>
                <c:ptCount val="1"/>
                <c:pt idx="0">
                  <c:v>Capaian</c:v>
                </c:pt>
              </c:strCache>
            </c:strRef>
          </c:tx>
          <c:cat>
            <c:strRef>
              <c:f>Sheet1!$A$2:$A$4</c:f>
              <c:strCache>
                <c:ptCount val="3"/>
                <c:pt idx="0">
                  <c:v>Oktober</c:v>
                </c:pt>
                <c:pt idx="1">
                  <c:v>Nopember</c:v>
                </c:pt>
                <c:pt idx="2">
                  <c:v>Desember</c:v>
                </c:pt>
              </c:strCache>
            </c:strRef>
          </c:cat>
          <c:val>
            <c:numRef>
              <c:f>Sheet1!$B$2:$B$4</c:f>
              <c:numCache>
                <c:formatCode>General</c:formatCode>
                <c:ptCount val="3"/>
                <c:pt idx="0">
                  <c:v>86</c:v>
                </c:pt>
                <c:pt idx="1">
                  <c:v>86.5</c:v>
                </c:pt>
                <c:pt idx="2">
                  <c:v>87</c:v>
                </c:pt>
              </c:numCache>
            </c:numRef>
          </c:val>
        </c:ser>
        <c:ser>
          <c:idx val="1"/>
          <c:order val="1"/>
          <c:tx>
            <c:strRef>
              <c:f>Sheet1!$C$1</c:f>
              <c:strCache>
                <c:ptCount val="1"/>
                <c:pt idx="0">
                  <c:v>Standart</c:v>
                </c:pt>
              </c:strCache>
            </c:strRef>
          </c:tx>
          <c:cat>
            <c:strRef>
              <c:f>Sheet1!$A$2:$A$4</c:f>
              <c:strCache>
                <c:ptCount val="3"/>
                <c:pt idx="0">
                  <c:v>Oktober</c:v>
                </c:pt>
                <c:pt idx="1">
                  <c:v>Nopember</c:v>
                </c:pt>
                <c:pt idx="2">
                  <c:v>Desember</c:v>
                </c:pt>
              </c:strCache>
            </c:strRef>
          </c:cat>
          <c:val>
            <c:numRef>
              <c:f>Sheet1!$C$2:$C$4</c:f>
              <c:numCache>
                <c:formatCode>General</c:formatCode>
                <c:ptCount val="3"/>
                <c:pt idx="0">
                  <c:v>80</c:v>
                </c:pt>
                <c:pt idx="1">
                  <c:v>80</c:v>
                </c:pt>
                <c:pt idx="2">
                  <c:v>80</c:v>
                </c:pt>
              </c:numCache>
            </c:numRef>
          </c:val>
        </c:ser>
        <c:marker val="1"/>
        <c:axId val="86950272"/>
        <c:axId val="86951808"/>
      </c:lineChart>
      <c:catAx>
        <c:axId val="86950272"/>
        <c:scaling>
          <c:orientation val="minMax"/>
        </c:scaling>
        <c:axPos val="b"/>
        <c:numFmt formatCode="General" sourceLinked="0"/>
        <c:tickLblPos val="nextTo"/>
        <c:txPr>
          <a:bodyPr/>
          <a:lstStyle/>
          <a:p>
            <a:pPr>
              <a:defRPr lang="id-ID"/>
            </a:pPr>
            <a:endParaRPr lang="id-ID"/>
          </a:p>
        </c:txPr>
        <c:crossAx val="86951808"/>
        <c:crosses val="autoZero"/>
        <c:auto val="1"/>
        <c:lblAlgn val="ctr"/>
        <c:lblOffset val="100"/>
      </c:catAx>
      <c:valAx>
        <c:axId val="86951808"/>
        <c:scaling>
          <c:orientation val="minMax"/>
        </c:scaling>
        <c:axPos val="l"/>
        <c:majorGridlines/>
        <c:numFmt formatCode="General" sourceLinked="1"/>
        <c:tickLblPos val="nextTo"/>
        <c:txPr>
          <a:bodyPr/>
          <a:lstStyle/>
          <a:p>
            <a:pPr>
              <a:defRPr lang="id-ID"/>
            </a:pPr>
            <a:endParaRPr lang="id-ID"/>
          </a:p>
        </c:txPr>
        <c:crossAx val="86950272"/>
        <c:crosses val="autoZero"/>
        <c:crossBetween val="between"/>
      </c:valAx>
      <c:dTable>
        <c:showHorzBorder val="1"/>
        <c:showVertBorder val="1"/>
        <c:showOutline val="1"/>
        <c:showKeys val="1"/>
        <c:txPr>
          <a:bodyPr/>
          <a:lstStyle/>
          <a:p>
            <a:pPr rtl="0">
              <a:defRPr lang="id-ID"/>
            </a:pPr>
            <a:endParaRPr lang="id-ID"/>
          </a:p>
        </c:txPr>
      </c:dTable>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legend>
      <c:legendPos val="r"/>
      <c:layout/>
      <c:txPr>
        <a:bodyPr/>
        <a:lstStyle/>
        <a:p>
          <a:pPr>
            <a:defRPr lang="id-ID"/>
          </a:pPr>
          <a:endParaRPr lang="id-ID"/>
        </a:p>
      </c:txPr>
    </c:legend>
    <c:plotVisOnly val="1"/>
    <c:dispBlanksAs val="gap"/>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id-ID"/>
            </a:pPr>
            <a:r>
              <a:rPr lang="en-US" sz="1000" b="1" i="0" u="none" strike="noStrike" baseline="0"/>
              <a:t>Kepatuhan Terhadap Clinical Pathway</a:t>
            </a:r>
            <a:endParaRPr lang="id-ID" sz="1000"/>
          </a:p>
        </c:rich>
      </c:tx>
      <c:layout/>
      <c:overlay val="1"/>
    </c:title>
    <c:plotArea>
      <c:layout>
        <c:manualLayout>
          <c:layoutTarget val="inner"/>
          <c:xMode val="edge"/>
          <c:yMode val="edge"/>
          <c:x val="0.19402214022140221"/>
          <c:y val="5.9451243293383506E-2"/>
          <c:w val="0.6045756457564575"/>
          <c:h val="0.69134828026014861"/>
        </c:manualLayout>
      </c:layout>
      <c:lineChart>
        <c:grouping val="standard"/>
        <c:ser>
          <c:idx val="0"/>
          <c:order val="0"/>
          <c:tx>
            <c:strRef>
              <c:f>Sheet1!$B$1</c:f>
              <c:strCache>
                <c:ptCount val="1"/>
                <c:pt idx="0">
                  <c:v>Capaian</c:v>
                </c:pt>
              </c:strCache>
            </c:strRef>
          </c:tx>
          <c:cat>
            <c:strRef>
              <c:f>Sheet1!$A$2:$A$4</c:f>
              <c:strCache>
                <c:ptCount val="3"/>
                <c:pt idx="0">
                  <c:v>Oktober</c:v>
                </c:pt>
                <c:pt idx="1">
                  <c:v>Nopember</c:v>
                </c:pt>
                <c:pt idx="2">
                  <c:v>Desember</c:v>
                </c:pt>
              </c:strCache>
            </c:strRef>
          </c:cat>
          <c:val>
            <c:numRef>
              <c:f>Sheet1!$B$2:$B$4</c:f>
              <c:numCache>
                <c:formatCode>General</c:formatCode>
                <c:ptCount val="3"/>
                <c:pt idx="1">
                  <c:v>100</c:v>
                </c:pt>
                <c:pt idx="2">
                  <c:v>88.9</c:v>
                </c:pt>
              </c:numCache>
            </c:numRef>
          </c:val>
        </c:ser>
        <c:ser>
          <c:idx val="1"/>
          <c:order val="1"/>
          <c:tx>
            <c:strRef>
              <c:f>Sheet1!$C$1</c:f>
              <c:strCache>
                <c:ptCount val="1"/>
                <c:pt idx="0">
                  <c:v>Standart</c:v>
                </c:pt>
              </c:strCache>
            </c:strRef>
          </c:tx>
          <c:cat>
            <c:strRef>
              <c:f>Sheet1!$A$2:$A$4</c:f>
              <c:strCache>
                <c:ptCount val="3"/>
                <c:pt idx="0">
                  <c:v>Oktober</c:v>
                </c:pt>
                <c:pt idx="1">
                  <c:v>Nopember</c:v>
                </c:pt>
                <c:pt idx="2">
                  <c:v>Desember</c:v>
                </c:pt>
              </c:strCache>
            </c:strRef>
          </c:cat>
          <c:val>
            <c:numRef>
              <c:f>Sheet1!$C$2:$C$4</c:f>
              <c:numCache>
                <c:formatCode>General</c:formatCode>
                <c:ptCount val="3"/>
                <c:pt idx="1">
                  <c:v>80</c:v>
                </c:pt>
                <c:pt idx="2">
                  <c:v>80</c:v>
                </c:pt>
              </c:numCache>
            </c:numRef>
          </c:val>
        </c:ser>
        <c:marker val="1"/>
        <c:axId val="86597632"/>
        <c:axId val="86599168"/>
      </c:lineChart>
      <c:catAx>
        <c:axId val="86597632"/>
        <c:scaling>
          <c:orientation val="minMax"/>
        </c:scaling>
        <c:axPos val="b"/>
        <c:numFmt formatCode="General" sourceLinked="0"/>
        <c:tickLblPos val="nextTo"/>
        <c:txPr>
          <a:bodyPr/>
          <a:lstStyle/>
          <a:p>
            <a:pPr>
              <a:defRPr lang="id-ID"/>
            </a:pPr>
            <a:endParaRPr lang="id-ID"/>
          </a:p>
        </c:txPr>
        <c:crossAx val="86599168"/>
        <c:crosses val="autoZero"/>
        <c:auto val="1"/>
        <c:lblAlgn val="ctr"/>
        <c:lblOffset val="100"/>
      </c:catAx>
      <c:valAx>
        <c:axId val="86599168"/>
        <c:scaling>
          <c:orientation val="minMax"/>
          <c:max val="250"/>
        </c:scaling>
        <c:axPos val="l"/>
        <c:majorGridlines/>
        <c:numFmt formatCode="General" sourceLinked="1"/>
        <c:tickLblPos val="nextTo"/>
        <c:txPr>
          <a:bodyPr/>
          <a:lstStyle/>
          <a:p>
            <a:pPr>
              <a:defRPr lang="id-ID"/>
            </a:pPr>
            <a:endParaRPr lang="id-ID"/>
          </a:p>
        </c:txPr>
        <c:crossAx val="86597632"/>
        <c:crosses val="autoZero"/>
        <c:crossBetween val="between"/>
      </c:valAx>
      <c:dTable>
        <c:showHorzBorder val="1"/>
        <c:showVertBorder val="1"/>
        <c:showOutline val="1"/>
        <c:showKeys val="1"/>
        <c:spPr>
          <a:gradFill>
            <a:gsLst>
              <a:gs pos="0">
                <a:srgbClr val="4F81BD">
                  <a:tint val="66000"/>
                  <a:satMod val="160000"/>
                </a:srgbClr>
              </a:gs>
              <a:gs pos="50000">
                <a:srgbClr val="4F81BD">
                  <a:tint val="44500"/>
                  <a:satMod val="160000"/>
                </a:srgbClr>
              </a:gs>
              <a:gs pos="100000">
                <a:srgbClr val="4F81BD">
                  <a:tint val="23500"/>
                  <a:satMod val="160000"/>
                </a:srgbClr>
              </a:gs>
            </a:gsLst>
            <a:lin ang="60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txPr>
          <a:bodyPr/>
          <a:lstStyle/>
          <a:p>
            <a:pPr rtl="0">
              <a:defRPr lang="id-ID"/>
            </a:pPr>
            <a:endParaRPr lang="id-ID"/>
          </a:p>
        </c:txPr>
      </c:dTable>
      <c:spPr>
        <a:gradFill>
          <a:gsLst>
            <a:gs pos="0">
              <a:srgbClr val="4F81BD">
                <a:tint val="66000"/>
                <a:satMod val="160000"/>
              </a:srgbClr>
            </a:gs>
            <a:gs pos="50000">
              <a:srgbClr val="4F81BD">
                <a:tint val="44500"/>
                <a:satMod val="160000"/>
              </a:srgbClr>
            </a:gs>
            <a:gs pos="100000">
              <a:srgbClr val="4F81BD">
                <a:tint val="23500"/>
                <a:satMod val="160000"/>
              </a:srgbClr>
            </a:gs>
          </a:gsLst>
          <a:lin ang="6000000" scaled="0"/>
        </a:gradFill>
      </c:spPr>
    </c:plotArea>
    <c:legend>
      <c:legendPos val="r"/>
      <c:layout/>
      <c:txPr>
        <a:bodyPr/>
        <a:lstStyle/>
        <a:p>
          <a:pPr>
            <a:defRPr lang="id-ID"/>
          </a:pPr>
          <a:endParaRPr lang="id-ID"/>
        </a:p>
      </c:txPr>
    </c:legend>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6000000" scaled="0"/>
    </a:gra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id-ID"/>
            </a:pPr>
            <a:r>
              <a:rPr lang="id-ID" sz="1000" b="1" i="0" u="none" strike="noStrike" baseline="0"/>
              <a:t>Waktu Tunggu Rawat Jalan</a:t>
            </a:r>
            <a:endParaRPr lang="id-ID" sz="1000"/>
          </a:p>
        </c:rich>
      </c:tx>
      <c:layout/>
    </c:title>
    <c:plotArea>
      <c:layout/>
      <c:lineChart>
        <c:grouping val="standard"/>
        <c:ser>
          <c:idx val="0"/>
          <c:order val="0"/>
          <c:tx>
            <c:strRef>
              <c:f>Sheet1!$B$1</c:f>
              <c:strCache>
                <c:ptCount val="1"/>
                <c:pt idx="0">
                  <c:v>Capaian</c:v>
                </c:pt>
              </c:strCache>
            </c:strRef>
          </c:tx>
          <c:cat>
            <c:strRef>
              <c:f>Sheet1!$A$2:$A$4</c:f>
              <c:strCache>
                <c:ptCount val="3"/>
                <c:pt idx="0">
                  <c:v>Oktober</c:v>
                </c:pt>
                <c:pt idx="1">
                  <c:v>Nopember</c:v>
                </c:pt>
                <c:pt idx="2">
                  <c:v>Desember</c:v>
                </c:pt>
              </c:strCache>
            </c:strRef>
          </c:cat>
          <c:val>
            <c:numRef>
              <c:f>Sheet1!$B$2:$B$4</c:f>
              <c:numCache>
                <c:formatCode>General</c:formatCode>
                <c:ptCount val="3"/>
                <c:pt idx="0">
                  <c:v>100</c:v>
                </c:pt>
                <c:pt idx="1">
                  <c:v>59.690000000000012</c:v>
                </c:pt>
                <c:pt idx="2">
                  <c:v>83.78</c:v>
                </c:pt>
              </c:numCache>
            </c:numRef>
          </c:val>
        </c:ser>
        <c:ser>
          <c:idx val="1"/>
          <c:order val="1"/>
          <c:tx>
            <c:strRef>
              <c:f>Sheet1!$C$1</c:f>
              <c:strCache>
                <c:ptCount val="1"/>
                <c:pt idx="0">
                  <c:v>Standart</c:v>
                </c:pt>
              </c:strCache>
            </c:strRef>
          </c:tx>
          <c:cat>
            <c:strRef>
              <c:f>Sheet1!$A$2:$A$4</c:f>
              <c:strCache>
                <c:ptCount val="3"/>
                <c:pt idx="0">
                  <c:v>Oktober</c:v>
                </c:pt>
                <c:pt idx="1">
                  <c:v>Nopember</c:v>
                </c:pt>
                <c:pt idx="2">
                  <c:v>Desember</c:v>
                </c:pt>
              </c:strCache>
            </c:strRef>
          </c:cat>
          <c:val>
            <c:numRef>
              <c:f>Sheet1!$C$2:$C$4</c:f>
              <c:numCache>
                <c:formatCode>General</c:formatCode>
                <c:ptCount val="3"/>
                <c:pt idx="0">
                  <c:v>60</c:v>
                </c:pt>
                <c:pt idx="1">
                  <c:v>60</c:v>
                </c:pt>
                <c:pt idx="2">
                  <c:v>60</c:v>
                </c:pt>
              </c:numCache>
            </c:numRef>
          </c:val>
        </c:ser>
        <c:marker val="1"/>
        <c:axId val="86879616"/>
        <c:axId val="86979712"/>
      </c:lineChart>
      <c:catAx>
        <c:axId val="86879616"/>
        <c:scaling>
          <c:orientation val="minMax"/>
        </c:scaling>
        <c:axPos val="b"/>
        <c:numFmt formatCode="General" sourceLinked="0"/>
        <c:tickLblPos val="nextTo"/>
        <c:txPr>
          <a:bodyPr/>
          <a:lstStyle/>
          <a:p>
            <a:pPr>
              <a:defRPr lang="id-ID"/>
            </a:pPr>
            <a:endParaRPr lang="id-ID"/>
          </a:p>
        </c:txPr>
        <c:crossAx val="86979712"/>
        <c:crosses val="autoZero"/>
        <c:auto val="1"/>
        <c:lblAlgn val="ctr"/>
        <c:lblOffset val="100"/>
      </c:catAx>
      <c:valAx>
        <c:axId val="86979712"/>
        <c:scaling>
          <c:orientation val="minMax"/>
        </c:scaling>
        <c:axPos val="l"/>
        <c:majorGridlines/>
        <c:numFmt formatCode="General" sourceLinked="1"/>
        <c:tickLblPos val="nextTo"/>
        <c:txPr>
          <a:bodyPr/>
          <a:lstStyle/>
          <a:p>
            <a:pPr>
              <a:defRPr lang="id-ID"/>
            </a:pPr>
            <a:endParaRPr lang="id-ID"/>
          </a:p>
        </c:txPr>
        <c:crossAx val="86879616"/>
        <c:crosses val="autoZero"/>
        <c:crossBetween val="between"/>
      </c:valAx>
      <c:dTable>
        <c:showHorzBorder val="1"/>
        <c:showVertBorder val="1"/>
        <c:showOutline val="1"/>
        <c:showKeys val="1"/>
        <c:txPr>
          <a:bodyPr/>
          <a:lstStyle/>
          <a:p>
            <a:pPr rtl="0">
              <a:defRPr lang="id-ID"/>
            </a:pPr>
            <a:endParaRPr lang="id-ID"/>
          </a:p>
        </c:txPr>
      </c:dTable>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legend>
      <c:legendPos val="r"/>
      <c:layout/>
      <c:txPr>
        <a:bodyPr/>
        <a:lstStyle/>
        <a:p>
          <a:pPr>
            <a:defRPr lang="id-ID"/>
          </a:pPr>
          <a:endParaRPr lang="id-ID"/>
        </a:p>
      </c:txPr>
    </c:legend>
    <c:plotVisOnly val="1"/>
    <c:dispBlanksAs val="gap"/>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id-ID"/>
            </a:pPr>
            <a:r>
              <a:rPr lang="id-ID" sz="1000" b="1" i="0" u="none" strike="noStrike" baseline="0"/>
              <a:t>Kepatuhan Jam Visite Dokter</a:t>
            </a:r>
            <a:endParaRPr lang="id-ID" sz="1000"/>
          </a:p>
        </c:rich>
      </c:tx>
      <c:layout/>
    </c:title>
    <c:plotArea>
      <c:layout/>
      <c:lineChart>
        <c:grouping val="standard"/>
        <c:ser>
          <c:idx val="0"/>
          <c:order val="0"/>
          <c:tx>
            <c:strRef>
              <c:f>Sheet1!$B$1</c:f>
              <c:strCache>
                <c:ptCount val="1"/>
                <c:pt idx="0">
                  <c:v>Capaian</c:v>
                </c:pt>
              </c:strCache>
            </c:strRef>
          </c:tx>
          <c:cat>
            <c:strRef>
              <c:f>Sheet1!$A$2:$A$4</c:f>
              <c:strCache>
                <c:ptCount val="3"/>
                <c:pt idx="0">
                  <c:v>Oktober</c:v>
                </c:pt>
                <c:pt idx="1">
                  <c:v>Nopember</c:v>
                </c:pt>
                <c:pt idx="2">
                  <c:v>Desember</c:v>
                </c:pt>
              </c:strCache>
            </c:strRef>
          </c:cat>
          <c:val>
            <c:numRef>
              <c:f>Sheet1!$B$2:$B$4</c:f>
              <c:numCache>
                <c:formatCode>General</c:formatCode>
                <c:ptCount val="3"/>
                <c:pt idx="0">
                  <c:v>97.1</c:v>
                </c:pt>
                <c:pt idx="1">
                  <c:v>93.5</c:v>
                </c:pt>
                <c:pt idx="2">
                  <c:v>93.7</c:v>
                </c:pt>
              </c:numCache>
            </c:numRef>
          </c:val>
        </c:ser>
        <c:ser>
          <c:idx val="1"/>
          <c:order val="1"/>
          <c:tx>
            <c:strRef>
              <c:f>Sheet1!$C$1</c:f>
              <c:strCache>
                <c:ptCount val="1"/>
                <c:pt idx="0">
                  <c:v>Standart</c:v>
                </c:pt>
              </c:strCache>
            </c:strRef>
          </c:tx>
          <c:cat>
            <c:strRef>
              <c:f>Sheet1!$A$2:$A$4</c:f>
              <c:strCache>
                <c:ptCount val="3"/>
                <c:pt idx="0">
                  <c:v>Oktober</c:v>
                </c:pt>
                <c:pt idx="1">
                  <c:v>Nopember</c:v>
                </c:pt>
                <c:pt idx="2">
                  <c:v>Desember</c:v>
                </c:pt>
              </c:strCache>
            </c:strRef>
          </c:cat>
          <c:val>
            <c:numRef>
              <c:f>Sheet1!$C$2:$C$4</c:f>
              <c:numCache>
                <c:formatCode>General</c:formatCode>
                <c:ptCount val="3"/>
                <c:pt idx="0">
                  <c:v>80</c:v>
                </c:pt>
                <c:pt idx="1">
                  <c:v>80</c:v>
                </c:pt>
                <c:pt idx="2">
                  <c:v>80</c:v>
                </c:pt>
              </c:numCache>
            </c:numRef>
          </c:val>
        </c:ser>
        <c:marker val="1"/>
        <c:axId val="87010304"/>
        <c:axId val="87016192"/>
      </c:lineChart>
      <c:catAx>
        <c:axId val="87010304"/>
        <c:scaling>
          <c:orientation val="minMax"/>
        </c:scaling>
        <c:axPos val="b"/>
        <c:numFmt formatCode="General" sourceLinked="0"/>
        <c:tickLblPos val="nextTo"/>
        <c:txPr>
          <a:bodyPr/>
          <a:lstStyle/>
          <a:p>
            <a:pPr>
              <a:defRPr lang="id-ID"/>
            </a:pPr>
            <a:endParaRPr lang="id-ID"/>
          </a:p>
        </c:txPr>
        <c:crossAx val="87016192"/>
        <c:crosses val="autoZero"/>
        <c:auto val="1"/>
        <c:lblAlgn val="ctr"/>
        <c:lblOffset val="100"/>
      </c:catAx>
      <c:valAx>
        <c:axId val="87016192"/>
        <c:scaling>
          <c:orientation val="minMax"/>
        </c:scaling>
        <c:axPos val="l"/>
        <c:majorGridlines/>
        <c:numFmt formatCode="General" sourceLinked="1"/>
        <c:tickLblPos val="nextTo"/>
        <c:txPr>
          <a:bodyPr/>
          <a:lstStyle/>
          <a:p>
            <a:pPr>
              <a:defRPr lang="id-ID"/>
            </a:pPr>
            <a:endParaRPr lang="id-ID"/>
          </a:p>
        </c:txPr>
        <c:crossAx val="87010304"/>
        <c:crosses val="autoZero"/>
        <c:crossBetween val="between"/>
      </c:valAx>
      <c:dTable>
        <c:showHorzBorder val="1"/>
        <c:showVertBorder val="1"/>
        <c:showOutline val="1"/>
        <c:showKeys val="1"/>
        <c:txPr>
          <a:bodyPr/>
          <a:lstStyle/>
          <a:p>
            <a:pPr rtl="0">
              <a:defRPr lang="id-ID"/>
            </a:pPr>
            <a:endParaRPr lang="id-ID"/>
          </a:p>
        </c:txPr>
      </c:dTable>
      <c:spPr>
        <a:gradFill>
          <a:gsLst>
            <a:gs pos="0">
              <a:srgbClr val="4F81BD">
                <a:tint val="66000"/>
                <a:satMod val="160000"/>
              </a:srgbClr>
            </a:gs>
            <a:gs pos="50000">
              <a:srgbClr val="4F81BD">
                <a:tint val="44500"/>
                <a:satMod val="160000"/>
              </a:srgbClr>
            </a:gs>
            <a:gs pos="100000">
              <a:srgbClr val="4F81BD">
                <a:tint val="23500"/>
                <a:satMod val="160000"/>
              </a:srgbClr>
            </a:gs>
          </a:gsLst>
          <a:lin ang="6000000" scaled="0"/>
        </a:gradFill>
      </c:spPr>
    </c:plotArea>
    <c:legend>
      <c:legendPos val="r"/>
      <c:layout/>
      <c:txPr>
        <a:bodyPr/>
        <a:lstStyle/>
        <a:p>
          <a:pPr>
            <a:defRPr lang="id-ID"/>
          </a:pPr>
          <a:endParaRPr lang="id-ID"/>
        </a:p>
      </c:txPr>
    </c:legend>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6000000" scaled="0"/>
    </a:gradFill>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id-ID"/>
            </a:pPr>
            <a:r>
              <a:rPr lang="id-ID" sz="1000" b="1" i="0" u="none" strike="noStrike" baseline="0"/>
              <a:t>Kepuasan Pasien dan Keluarga</a:t>
            </a:r>
            <a:endParaRPr lang="id-ID" sz="1000"/>
          </a:p>
        </c:rich>
      </c:tx>
      <c:layout/>
    </c:title>
    <c:plotArea>
      <c:layout/>
      <c:lineChart>
        <c:grouping val="standard"/>
        <c:ser>
          <c:idx val="0"/>
          <c:order val="0"/>
          <c:tx>
            <c:strRef>
              <c:f>Sheet1!$B$1</c:f>
              <c:strCache>
                <c:ptCount val="1"/>
                <c:pt idx="0">
                  <c:v>Capaian</c:v>
                </c:pt>
              </c:strCache>
            </c:strRef>
          </c:tx>
          <c:cat>
            <c:strRef>
              <c:f>Sheet1!$A$2:$A$4</c:f>
              <c:strCache>
                <c:ptCount val="3"/>
                <c:pt idx="0">
                  <c:v>IRJ</c:v>
                </c:pt>
                <c:pt idx="1">
                  <c:v>IRI</c:v>
                </c:pt>
                <c:pt idx="2">
                  <c:v>IGD</c:v>
                </c:pt>
              </c:strCache>
            </c:strRef>
          </c:cat>
          <c:val>
            <c:numRef>
              <c:f>Sheet1!$B$2:$B$4</c:f>
              <c:numCache>
                <c:formatCode>General</c:formatCode>
                <c:ptCount val="3"/>
                <c:pt idx="0">
                  <c:v>79</c:v>
                </c:pt>
                <c:pt idx="1">
                  <c:v>75</c:v>
                </c:pt>
                <c:pt idx="2">
                  <c:v>75</c:v>
                </c:pt>
              </c:numCache>
            </c:numRef>
          </c:val>
        </c:ser>
        <c:ser>
          <c:idx val="1"/>
          <c:order val="1"/>
          <c:tx>
            <c:strRef>
              <c:f>Sheet1!$C$1</c:f>
              <c:strCache>
                <c:ptCount val="1"/>
                <c:pt idx="0">
                  <c:v>Standart</c:v>
                </c:pt>
              </c:strCache>
            </c:strRef>
          </c:tx>
          <c:cat>
            <c:strRef>
              <c:f>Sheet1!$A$2:$A$4</c:f>
              <c:strCache>
                <c:ptCount val="3"/>
                <c:pt idx="0">
                  <c:v>IRJ</c:v>
                </c:pt>
                <c:pt idx="1">
                  <c:v>IRI</c:v>
                </c:pt>
                <c:pt idx="2">
                  <c:v>IGD</c:v>
                </c:pt>
              </c:strCache>
            </c:strRef>
          </c:cat>
          <c:val>
            <c:numRef>
              <c:f>Sheet1!$C$2:$C$4</c:f>
              <c:numCache>
                <c:formatCode>General</c:formatCode>
                <c:ptCount val="3"/>
                <c:pt idx="0">
                  <c:v>80</c:v>
                </c:pt>
                <c:pt idx="1">
                  <c:v>80</c:v>
                </c:pt>
                <c:pt idx="2">
                  <c:v>80</c:v>
                </c:pt>
              </c:numCache>
            </c:numRef>
          </c:val>
        </c:ser>
        <c:marker val="1"/>
        <c:axId val="102746752"/>
        <c:axId val="102748544"/>
      </c:lineChart>
      <c:catAx>
        <c:axId val="102746752"/>
        <c:scaling>
          <c:orientation val="minMax"/>
        </c:scaling>
        <c:axPos val="b"/>
        <c:numFmt formatCode="General" sourceLinked="0"/>
        <c:tickLblPos val="nextTo"/>
        <c:txPr>
          <a:bodyPr/>
          <a:lstStyle/>
          <a:p>
            <a:pPr>
              <a:defRPr lang="id-ID"/>
            </a:pPr>
            <a:endParaRPr lang="id-ID"/>
          </a:p>
        </c:txPr>
        <c:crossAx val="102748544"/>
        <c:crosses val="autoZero"/>
        <c:auto val="1"/>
        <c:lblAlgn val="ctr"/>
        <c:lblOffset val="100"/>
      </c:catAx>
      <c:valAx>
        <c:axId val="102748544"/>
        <c:scaling>
          <c:orientation val="minMax"/>
        </c:scaling>
        <c:axPos val="l"/>
        <c:majorGridlines/>
        <c:numFmt formatCode="General" sourceLinked="1"/>
        <c:tickLblPos val="nextTo"/>
        <c:txPr>
          <a:bodyPr/>
          <a:lstStyle/>
          <a:p>
            <a:pPr>
              <a:defRPr lang="id-ID"/>
            </a:pPr>
            <a:endParaRPr lang="id-ID"/>
          </a:p>
        </c:txPr>
        <c:crossAx val="102746752"/>
        <c:crosses val="autoZero"/>
        <c:crossBetween val="between"/>
      </c:valAx>
      <c:dTable>
        <c:showHorzBorder val="1"/>
        <c:showVertBorder val="1"/>
        <c:showOutline val="1"/>
        <c:txPr>
          <a:bodyPr/>
          <a:lstStyle/>
          <a:p>
            <a:pPr rtl="0">
              <a:defRPr lang="id-ID"/>
            </a:pPr>
            <a:endParaRPr lang="id-ID"/>
          </a:p>
        </c:txPr>
      </c:dTable>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plotArea>
    <c:legend>
      <c:legendPos val="r"/>
      <c:layout/>
      <c:txPr>
        <a:bodyPr/>
        <a:lstStyle/>
        <a:p>
          <a:pPr>
            <a:defRPr lang="id-ID"/>
          </a:pPr>
          <a:endParaRPr lang="id-ID"/>
        </a:p>
      </c:txPr>
    </c:legend>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id-ID"/>
            </a:pPr>
            <a:r>
              <a:rPr lang="id-ID" sz="1000" b="1" i="0" u="none" strike="noStrike" baseline="0"/>
              <a:t>Kecepatan Respon Terhadap Komplain</a:t>
            </a:r>
            <a:endParaRPr lang="id-ID" sz="1000"/>
          </a:p>
        </c:rich>
      </c:tx>
      <c:layout/>
    </c:title>
    <c:plotArea>
      <c:layout/>
      <c:lineChart>
        <c:grouping val="standard"/>
        <c:ser>
          <c:idx val="0"/>
          <c:order val="0"/>
          <c:tx>
            <c:strRef>
              <c:f>Sheet1!$B$1</c:f>
              <c:strCache>
                <c:ptCount val="1"/>
                <c:pt idx="0">
                  <c:v>Capaian</c:v>
                </c:pt>
              </c:strCache>
            </c:strRef>
          </c:tx>
          <c:cat>
            <c:strRef>
              <c:f>Sheet1!$A$2:$A$4</c:f>
              <c:strCache>
                <c:ptCount val="3"/>
                <c:pt idx="0">
                  <c:v>Oktober</c:v>
                </c:pt>
                <c:pt idx="1">
                  <c:v>Nopember</c:v>
                </c:pt>
                <c:pt idx="2">
                  <c:v>Desember</c:v>
                </c:pt>
              </c:strCache>
            </c:strRef>
          </c:cat>
          <c:val>
            <c:numRef>
              <c:f>Sheet1!$B$2:$B$4</c:f>
              <c:numCache>
                <c:formatCode>General</c:formatCode>
                <c:ptCount val="3"/>
                <c:pt idx="0">
                  <c:v>100</c:v>
                </c:pt>
                <c:pt idx="1">
                  <c:v>100</c:v>
                </c:pt>
                <c:pt idx="2">
                  <c:v>100</c:v>
                </c:pt>
              </c:numCache>
            </c:numRef>
          </c:val>
        </c:ser>
        <c:ser>
          <c:idx val="1"/>
          <c:order val="1"/>
          <c:tx>
            <c:strRef>
              <c:f>Sheet1!$C$1</c:f>
              <c:strCache>
                <c:ptCount val="1"/>
                <c:pt idx="0">
                  <c:v>Standart</c:v>
                </c:pt>
              </c:strCache>
            </c:strRef>
          </c:tx>
          <c:cat>
            <c:strRef>
              <c:f>Sheet1!$A$2:$A$4</c:f>
              <c:strCache>
                <c:ptCount val="3"/>
                <c:pt idx="0">
                  <c:v>Oktober</c:v>
                </c:pt>
                <c:pt idx="1">
                  <c:v>Nopember</c:v>
                </c:pt>
                <c:pt idx="2">
                  <c:v>Desember</c:v>
                </c:pt>
              </c:strCache>
            </c:strRef>
          </c:cat>
          <c:val>
            <c:numRef>
              <c:f>Sheet1!$C$2:$C$4</c:f>
              <c:numCache>
                <c:formatCode>General</c:formatCode>
                <c:ptCount val="3"/>
                <c:pt idx="0">
                  <c:v>75</c:v>
                </c:pt>
                <c:pt idx="1">
                  <c:v>75</c:v>
                </c:pt>
                <c:pt idx="2">
                  <c:v>75</c:v>
                </c:pt>
              </c:numCache>
            </c:numRef>
          </c:val>
        </c:ser>
        <c:marker val="1"/>
        <c:axId val="102775040"/>
        <c:axId val="102780928"/>
      </c:lineChart>
      <c:catAx>
        <c:axId val="102775040"/>
        <c:scaling>
          <c:orientation val="minMax"/>
        </c:scaling>
        <c:axPos val="b"/>
        <c:numFmt formatCode="General" sourceLinked="0"/>
        <c:tickLblPos val="nextTo"/>
        <c:txPr>
          <a:bodyPr/>
          <a:lstStyle/>
          <a:p>
            <a:pPr>
              <a:defRPr lang="id-ID"/>
            </a:pPr>
            <a:endParaRPr lang="id-ID"/>
          </a:p>
        </c:txPr>
        <c:crossAx val="102780928"/>
        <c:crosses val="autoZero"/>
        <c:auto val="1"/>
        <c:lblAlgn val="ctr"/>
        <c:lblOffset val="100"/>
      </c:catAx>
      <c:valAx>
        <c:axId val="102780928"/>
        <c:scaling>
          <c:orientation val="minMax"/>
        </c:scaling>
        <c:axPos val="l"/>
        <c:majorGridlines/>
        <c:numFmt formatCode="General" sourceLinked="1"/>
        <c:tickLblPos val="nextTo"/>
        <c:txPr>
          <a:bodyPr/>
          <a:lstStyle/>
          <a:p>
            <a:pPr>
              <a:defRPr lang="id-ID"/>
            </a:pPr>
            <a:endParaRPr lang="id-ID"/>
          </a:p>
        </c:txPr>
        <c:crossAx val="102775040"/>
        <c:crosses val="autoZero"/>
        <c:crossBetween val="between"/>
      </c:valAx>
      <c:dTable>
        <c:showHorzBorder val="1"/>
        <c:showVertBorder val="1"/>
        <c:showOutline val="1"/>
        <c:showKeys val="1"/>
        <c:txPr>
          <a:bodyPr/>
          <a:lstStyle/>
          <a:p>
            <a:pPr rtl="0">
              <a:defRPr lang="id-ID"/>
            </a:pPr>
            <a:endParaRPr lang="id-ID"/>
          </a:p>
        </c:txPr>
      </c:dTable>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legend>
      <c:legendPos val="r"/>
      <c:layout/>
      <c:txPr>
        <a:bodyPr/>
        <a:lstStyle/>
        <a:p>
          <a:pPr>
            <a:defRPr lang="id-ID"/>
          </a:pPr>
          <a:endParaRPr lang="id-ID"/>
        </a:p>
      </c:txPr>
    </c:legend>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id-ID"/>
            </a:pPr>
            <a:r>
              <a:rPr lang="en-US" sz="1000" b="1" i="0" u="none" strike="noStrike" baseline="0"/>
              <a:t>Kepatuhan Cuci Tangan</a:t>
            </a:r>
            <a:endParaRPr lang="id-ID" sz="1000"/>
          </a:p>
        </c:rich>
      </c:tx>
      <c:layout/>
    </c:title>
    <c:plotArea>
      <c:layout/>
      <c:lineChart>
        <c:grouping val="standard"/>
        <c:ser>
          <c:idx val="0"/>
          <c:order val="0"/>
          <c:tx>
            <c:strRef>
              <c:f>Sheet1!$B$1</c:f>
              <c:strCache>
                <c:ptCount val="1"/>
                <c:pt idx="0">
                  <c:v>Capaian</c:v>
                </c:pt>
              </c:strCache>
            </c:strRef>
          </c:tx>
          <c:cat>
            <c:strRef>
              <c:f>Sheet1!$A$2:$A$4</c:f>
              <c:strCache>
                <c:ptCount val="3"/>
                <c:pt idx="0">
                  <c:v>Oktober</c:v>
                </c:pt>
                <c:pt idx="1">
                  <c:v>Nopember</c:v>
                </c:pt>
                <c:pt idx="2">
                  <c:v>Desember</c:v>
                </c:pt>
              </c:strCache>
            </c:strRef>
          </c:cat>
          <c:val>
            <c:numRef>
              <c:f>Sheet1!$B$2:$B$4</c:f>
              <c:numCache>
                <c:formatCode>General</c:formatCode>
                <c:ptCount val="3"/>
                <c:pt idx="0">
                  <c:v>68</c:v>
                </c:pt>
                <c:pt idx="1">
                  <c:v>69.099999999999994</c:v>
                </c:pt>
                <c:pt idx="2">
                  <c:v>72.099999999999994</c:v>
                </c:pt>
              </c:numCache>
            </c:numRef>
          </c:val>
        </c:ser>
        <c:ser>
          <c:idx val="1"/>
          <c:order val="1"/>
          <c:tx>
            <c:strRef>
              <c:f>Sheet1!$C$1</c:f>
              <c:strCache>
                <c:ptCount val="1"/>
                <c:pt idx="0">
                  <c:v>Standart</c:v>
                </c:pt>
              </c:strCache>
            </c:strRef>
          </c:tx>
          <c:cat>
            <c:strRef>
              <c:f>Sheet1!$A$2:$A$4</c:f>
              <c:strCache>
                <c:ptCount val="3"/>
                <c:pt idx="0">
                  <c:v>Oktober</c:v>
                </c:pt>
                <c:pt idx="1">
                  <c:v>Nopember</c:v>
                </c:pt>
                <c:pt idx="2">
                  <c:v>Desember</c:v>
                </c:pt>
              </c:strCache>
            </c:strRef>
          </c:cat>
          <c:val>
            <c:numRef>
              <c:f>Sheet1!$C$2:$C$4</c:f>
              <c:numCache>
                <c:formatCode>General</c:formatCode>
                <c:ptCount val="3"/>
                <c:pt idx="0">
                  <c:v>85</c:v>
                </c:pt>
                <c:pt idx="1">
                  <c:v>85</c:v>
                </c:pt>
                <c:pt idx="2">
                  <c:v>85</c:v>
                </c:pt>
              </c:numCache>
            </c:numRef>
          </c:val>
        </c:ser>
        <c:marker val="1"/>
        <c:axId val="86853504"/>
        <c:axId val="86855040"/>
      </c:lineChart>
      <c:catAx>
        <c:axId val="86853504"/>
        <c:scaling>
          <c:orientation val="minMax"/>
        </c:scaling>
        <c:axPos val="b"/>
        <c:numFmt formatCode="General" sourceLinked="0"/>
        <c:tickLblPos val="nextTo"/>
        <c:txPr>
          <a:bodyPr/>
          <a:lstStyle/>
          <a:p>
            <a:pPr>
              <a:defRPr lang="id-ID"/>
            </a:pPr>
            <a:endParaRPr lang="id-ID"/>
          </a:p>
        </c:txPr>
        <c:crossAx val="86855040"/>
        <c:crosses val="autoZero"/>
        <c:auto val="1"/>
        <c:lblAlgn val="ctr"/>
        <c:lblOffset val="100"/>
      </c:catAx>
      <c:valAx>
        <c:axId val="86855040"/>
        <c:scaling>
          <c:orientation val="minMax"/>
        </c:scaling>
        <c:axPos val="l"/>
        <c:majorGridlines/>
        <c:numFmt formatCode="General" sourceLinked="1"/>
        <c:tickLblPos val="nextTo"/>
        <c:txPr>
          <a:bodyPr/>
          <a:lstStyle/>
          <a:p>
            <a:pPr>
              <a:defRPr lang="id-ID"/>
            </a:pPr>
            <a:endParaRPr lang="id-ID"/>
          </a:p>
        </c:txPr>
        <c:crossAx val="86853504"/>
        <c:crosses val="autoZero"/>
        <c:crossBetween val="between"/>
      </c:valAx>
      <c:dTable>
        <c:showHorzBorder val="1"/>
        <c:showVertBorder val="1"/>
        <c:showOutline val="1"/>
        <c:showKeys val="1"/>
        <c:txPr>
          <a:bodyPr/>
          <a:lstStyle/>
          <a:p>
            <a:pPr rtl="0">
              <a:defRPr lang="id-ID"/>
            </a:pPr>
            <a:endParaRPr lang="id-ID"/>
          </a:p>
        </c:txPr>
      </c:dTable>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legend>
      <c:legendPos val="r"/>
      <c:layout/>
      <c:txPr>
        <a:bodyPr/>
        <a:lstStyle/>
        <a:p>
          <a:pPr>
            <a:defRPr lang="id-ID"/>
          </a:pPr>
          <a:endParaRPr lang="id-ID"/>
        </a:p>
      </c:txPr>
    </c:legend>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drawings/drawing1.xml><?xml version="1.0" encoding="utf-8"?>
<c:userShapes xmlns:c="http://schemas.openxmlformats.org/drawingml/2006/chart">
  <cdr:relSizeAnchor xmlns:cdr="http://schemas.openxmlformats.org/drawingml/2006/chartDrawing">
    <cdr:from>
      <cdr:x>0.23958</cdr:x>
      <cdr:y>0.8865</cdr:y>
    </cdr:from>
    <cdr:to>
      <cdr:x>0.74826</cdr:x>
      <cdr:y>0.91718</cdr:y>
    </cdr:to>
    <cdr:sp macro="" textlink="">
      <cdr:nvSpPr>
        <cdr:cNvPr id="2" name="TextBox 1"/>
        <cdr:cNvSpPr txBox="1"/>
      </cdr:nvSpPr>
      <cdr:spPr>
        <a:xfrm xmlns:a="http://schemas.openxmlformats.org/drawingml/2006/main">
          <a:off x="1314450" y="2752725"/>
          <a:ext cx="2790825" cy="952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id-ID"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awesome</dc:creator>
  <cp:lastModifiedBy>awesome</cp:lastModifiedBy>
  <cp:revision>2</cp:revision>
  <dcterms:created xsi:type="dcterms:W3CDTF">2020-03-16T01:53:00Z</dcterms:created>
  <dcterms:modified xsi:type="dcterms:W3CDTF">2020-03-16T02:16:00Z</dcterms:modified>
</cp:coreProperties>
</file>